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6" w:type="dxa"/>
        <w:jc w:val="center"/>
        <w:tblInd w:w="158"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2340"/>
        <w:gridCol w:w="6836"/>
      </w:tblGrid>
      <w:tr w:rsidR="00D9298F" w:rsidRPr="006532B9">
        <w:trPr>
          <w:trHeight w:val="2147"/>
          <w:jc w:val="center"/>
        </w:trPr>
        <w:tc>
          <w:tcPr>
            <w:tcW w:w="2340" w:type="dxa"/>
            <w:tcBorders>
              <w:right w:val="single" w:sz="4" w:space="0" w:color="auto"/>
            </w:tcBorders>
            <w:vAlign w:val="center"/>
          </w:tcPr>
          <w:p w:rsidR="00D9298F" w:rsidRPr="006532B9" w:rsidRDefault="00D9298F" w:rsidP="009D72EC">
            <w:pPr>
              <w:spacing w:after="120"/>
              <w:jc w:val="center"/>
              <w:rPr>
                <w:rFonts w:ascii="Verdana" w:hAnsi="Verdana"/>
                <w:sz w:val="20"/>
                <w:szCs w:val="20"/>
              </w:rPr>
            </w:pPr>
            <w:r w:rsidRPr="006532B9">
              <w:rPr>
                <w:rFonts w:ascii="Verdana" w:hAnsi="Verdana"/>
                <w:sz w:val="20"/>
                <w:szCs w:val="20"/>
              </w:rPr>
              <w:object w:dxaOrig="6136" w:dyaOrig="6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1.75pt" o:ole="" fillcolor="window">
                  <v:imagedata r:id="rId8" o:title=""/>
                </v:shape>
                <o:OLEObject Type="Embed" ProgID="PBrush" ShapeID="_x0000_i1025" DrawAspect="Content" ObjectID="_1459929597" r:id="rId9">
                  <o:FieldCodes>\s \* MERGEFORMAT</o:FieldCodes>
                </o:OLEObject>
              </w:object>
            </w:r>
          </w:p>
        </w:tc>
        <w:tc>
          <w:tcPr>
            <w:tcW w:w="6836" w:type="dxa"/>
            <w:tcBorders>
              <w:top w:val="single" w:sz="4" w:space="0" w:color="auto"/>
              <w:left w:val="single" w:sz="4" w:space="0" w:color="auto"/>
              <w:bottom w:val="single" w:sz="4" w:space="0" w:color="auto"/>
            </w:tcBorders>
            <w:vAlign w:val="center"/>
          </w:tcPr>
          <w:p w:rsidR="00D9298F" w:rsidRPr="006532B9" w:rsidRDefault="00D9298F" w:rsidP="009D72EC">
            <w:pPr>
              <w:pStyle w:val="Balk8"/>
              <w:spacing w:after="120"/>
              <w:jc w:val="center"/>
              <w:rPr>
                <w:rFonts w:ascii="Verdana" w:hAnsi="Verdana"/>
                <w:b/>
                <w:i w:val="0"/>
                <w:sz w:val="20"/>
                <w:szCs w:val="20"/>
                <w:lang w:val="tr-TR"/>
              </w:rPr>
            </w:pPr>
            <w:r w:rsidRPr="006532B9">
              <w:rPr>
                <w:rFonts w:ascii="Verdana" w:hAnsi="Verdana"/>
                <w:b/>
                <w:i w:val="0"/>
                <w:sz w:val="20"/>
                <w:szCs w:val="20"/>
                <w:lang w:val="tr-TR"/>
              </w:rPr>
              <w:t>TÜRKİYE İNSAN HAKLARI VAKFI</w:t>
            </w:r>
          </w:p>
          <w:p w:rsidR="00D9298F" w:rsidRPr="006532B9" w:rsidRDefault="00D9298F" w:rsidP="009D72EC">
            <w:pPr>
              <w:pStyle w:val="Balk4"/>
              <w:spacing w:after="120"/>
              <w:jc w:val="center"/>
              <w:rPr>
                <w:rFonts w:ascii="Verdana" w:hAnsi="Verdana"/>
                <w:b w:val="0"/>
                <w:spacing w:val="20"/>
                <w:sz w:val="20"/>
                <w:szCs w:val="20"/>
                <w:lang w:val="tr-TR"/>
              </w:rPr>
            </w:pPr>
            <w:r w:rsidRPr="006532B9">
              <w:rPr>
                <w:rFonts w:ascii="Verdana" w:hAnsi="Verdana"/>
                <w:b w:val="0"/>
                <w:spacing w:val="20"/>
                <w:sz w:val="20"/>
                <w:szCs w:val="20"/>
                <w:lang w:val="tr-TR"/>
              </w:rPr>
              <w:t>Human Rights Foundation of Turkey</w:t>
            </w:r>
          </w:p>
          <w:p w:rsidR="00D9298F" w:rsidRPr="006532B9" w:rsidRDefault="002D12A7" w:rsidP="009D72EC">
            <w:pPr>
              <w:spacing w:after="120"/>
              <w:jc w:val="center"/>
              <w:rPr>
                <w:rFonts w:ascii="Verdana" w:hAnsi="Verdana"/>
                <w:spacing w:val="24"/>
                <w:sz w:val="20"/>
                <w:szCs w:val="20"/>
              </w:rPr>
            </w:pPr>
            <w:r>
              <w:rPr>
                <w:rFonts w:ascii="Verdana" w:hAnsi="Verdana"/>
                <w:spacing w:val="24"/>
                <w:sz w:val="20"/>
                <w:szCs w:val="20"/>
              </w:rPr>
              <w:t>Mithatpaşa Cad. 49/11 6. Kat Kızılay</w:t>
            </w:r>
            <w:r w:rsidR="00D9298F" w:rsidRPr="006532B9">
              <w:rPr>
                <w:rFonts w:ascii="Verdana" w:hAnsi="Verdana"/>
                <w:spacing w:val="24"/>
                <w:sz w:val="20"/>
                <w:szCs w:val="20"/>
              </w:rPr>
              <w:t>/Ankara</w:t>
            </w:r>
          </w:p>
          <w:p w:rsidR="00D9298F" w:rsidRPr="006532B9" w:rsidRDefault="00D9298F" w:rsidP="009D72EC">
            <w:pPr>
              <w:spacing w:after="120"/>
              <w:jc w:val="center"/>
              <w:rPr>
                <w:rFonts w:ascii="Verdana" w:hAnsi="Verdana"/>
                <w:spacing w:val="24"/>
                <w:sz w:val="20"/>
                <w:szCs w:val="20"/>
              </w:rPr>
            </w:pPr>
            <w:r w:rsidRPr="006532B9">
              <w:rPr>
                <w:rFonts w:ascii="Verdana" w:hAnsi="Verdana"/>
                <w:spacing w:val="24"/>
                <w:sz w:val="20"/>
                <w:szCs w:val="20"/>
              </w:rPr>
              <w:t>Tel: +90 312 310 6636 Fax: +90 312 310 6463</w:t>
            </w:r>
          </w:p>
          <w:p w:rsidR="00D9298F" w:rsidRPr="006532B9" w:rsidRDefault="00D9298F" w:rsidP="009D72EC">
            <w:pPr>
              <w:spacing w:after="120"/>
              <w:jc w:val="center"/>
              <w:rPr>
                <w:rFonts w:ascii="Verdana" w:hAnsi="Verdana"/>
                <w:sz w:val="20"/>
                <w:szCs w:val="20"/>
              </w:rPr>
            </w:pPr>
            <w:r w:rsidRPr="006532B9">
              <w:rPr>
                <w:rFonts w:ascii="Verdana" w:hAnsi="Verdana"/>
                <w:spacing w:val="24"/>
                <w:sz w:val="20"/>
                <w:szCs w:val="20"/>
              </w:rPr>
              <w:t xml:space="preserve">e-mail: </w:t>
            </w:r>
            <w:hyperlink r:id="rId10" w:history="1">
              <w:r w:rsidRPr="006532B9">
                <w:rPr>
                  <w:rStyle w:val="Kpr"/>
                  <w:rFonts w:ascii="Verdana" w:hAnsi="Verdana"/>
                  <w:sz w:val="20"/>
                  <w:szCs w:val="20"/>
                </w:rPr>
                <w:t>tihv@tihv.org.tr</w:t>
              </w:r>
            </w:hyperlink>
            <w:r w:rsidRPr="006532B9">
              <w:rPr>
                <w:rFonts w:ascii="Verdana" w:hAnsi="Verdana"/>
                <w:sz w:val="20"/>
                <w:szCs w:val="20"/>
              </w:rPr>
              <w:t xml:space="preserve">         </w:t>
            </w:r>
            <w:hyperlink r:id="rId11" w:history="1">
              <w:r w:rsidRPr="006532B9">
                <w:rPr>
                  <w:rStyle w:val="Kpr"/>
                  <w:rFonts w:ascii="Verdana" w:hAnsi="Verdana"/>
                  <w:spacing w:val="24"/>
                  <w:sz w:val="20"/>
                  <w:szCs w:val="20"/>
                </w:rPr>
                <w:t>www.tihv.org.tr</w:t>
              </w:r>
            </w:hyperlink>
            <w:r w:rsidRPr="006532B9">
              <w:rPr>
                <w:rFonts w:ascii="Verdana" w:hAnsi="Verdana"/>
                <w:spacing w:val="24"/>
                <w:sz w:val="20"/>
                <w:szCs w:val="20"/>
              </w:rPr>
              <w:t xml:space="preserve"> </w:t>
            </w:r>
          </w:p>
        </w:tc>
      </w:tr>
    </w:tbl>
    <w:p w:rsidR="00D9298F" w:rsidRDefault="00D9298F" w:rsidP="00D9298F">
      <w:pPr>
        <w:rPr>
          <w:rFonts w:ascii="Verdana" w:hAnsi="Verdana"/>
          <w:sz w:val="22"/>
          <w:szCs w:val="22"/>
        </w:rPr>
      </w:pPr>
    </w:p>
    <w:p w:rsidR="00D9298F" w:rsidRDefault="00D9298F" w:rsidP="00D9298F">
      <w:pPr>
        <w:rPr>
          <w:rFonts w:ascii="Verdana" w:hAnsi="Verdana"/>
          <w:sz w:val="22"/>
          <w:szCs w:val="22"/>
        </w:rPr>
      </w:pPr>
    </w:p>
    <w:p w:rsidR="002D1CEF" w:rsidRDefault="008A6096" w:rsidP="00E4616B">
      <w:pPr>
        <w:autoSpaceDE w:val="0"/>
        <w:autoSpaceDN w:val="0"/>
        <w:adjustRightInd w:val="0"/>
        <w:spacing w:after="120" w:line="300" w:lineRule="atLeast"/>
        <w:ind w:firstLine="709"/>
        <w:jc w:val="both"/>
        <w:rPr>
          <w:rFonts w:ascii="Verdana" w:hAnsi="Verdana" w:cs="Tahoma"/>
          <w:b/>
          <w:sz w:val="18"/>
          <w:szCs w:val="18"/>
        </w:rPr>
      </w:pPr>
      <w:bookmarkStart w:id="0" w:name="_GoBack"/>
      <w:r w:rsidRPr="002D1CEF">
        <w:rPr>
          <w:rFonts w:ascii="Verdana" w:hAnsi="Verdana" w:cs="Tahoma"/>
          <w:b/>
          <w:sz w:val="18"/>
          <w:szCs w:val="18"/>
        </w:rPr>
        <w:t>Türkiye İnsan Hakl</w:t>
      </w:r>
      <w:r w:rsidR="006A2A98" w:rsidRPr="002D1CEF">
        <w:rPr>
          <w:rFonts w:ascii="Verdana" w:hAnsi="Verdana" w:cs="Tahoma"/>
          <w:b/>
          <w:sz w:val="18"/>
          <w:szCs w:val="18"/>
        </w:rPr>
        <w:t>arı Vakfı Dokümantasyon Merkezi</w:t>
      </w:r>
      <w:r w:rsidR="006B1A77" w:rsidRPr="002D1CEF">
        <w:rPr>
          <w:rStyle w:val="DipnotBavurusu"/>
          <w:rFonts w:ascii="Verdana" w:hAnsi="Verdana" w:cs="Tahoma"/>
          <w:b/>
          <w:sz w:val="18"/>
          <w:szCs w:val="18"/>
        </w:rPr>
        <w:footnoteReference w:id="1"/>
      </w:r>
      <w:r w:rsidR="002F4832">
        <w:rPr>
          <w:rStyle w:val="DipnotBavurusu"/>
          <w:rFonts w:ascii="Verdana" w:hAnsi="Verdana" w:cs="Tahoma"/>
          <w:b/>
          <w:sz w:val="18"/>
          <w:szCs w:val="18"/>
        </w:rPr>
        <w:footnoteReference w:id="2"/>
      </w:r>
      <w:r w:rsidR="00822724">
        <w:rPr>
          <w:rStyle w:val="DipnotBavurusu"/>
          <w:rFonts w:ascii="Verdana" w:hAnsi="Verdana" w:cs="Tahoma"/>
          <w:b/>
          <w:sz w:val="18"/>
          <w:szCs w:val="18"/>
        </w:rPr>
        <w:footnoteReference w:id="3"/>
      </w:r>
      <w:r w:rsidR="00BC6ED6">
        <w:rPr>
          <w:rStyle w:val="DipnotBavurusu"/>
          <w:rFonts w:ascii="Verdana" w:hAnsi="Verdana" w:cs="Tahoma"/>
          <w:b/>
          <w:sz w:val="18"/>
          <w:szCs w:val="18"/>
        </w:rPr>
        <w:footnoteReference w:id="4"/>
      </w:r>
    </w:p>
    <w:p w:rsidR="00167BD7" w:rsidRDefault="00FF3248" w:rsidP="00E4616B">
      <w:pPr>
        <w:autoSpaceDE w:val="0"/>
        <w:autoSpaceDN w:val="0"/>
        <w:adjustRightInd w:val="0"/>
        <w:spacing w:after="120" w:line="300" w:lineRule="atLeast"/>
        <w:ind w:firstLine="709"/>
        <w:jc w:val="both"/>
        <w:rPr>
          <w:rFonts w:ascii="Verdana" w:hAnsi="Verdana" w:cs="Tahoma"/>
          <w:b/>
          <w:sz w:val="18"/>
          <w:szCs w:val="18"/>
        </w:rPr>
      </w:pPr>
      <w:r>
        <w:rPr>
          <w:rFonts w:ascii="Verdana" w:hAnsi="Verdana" w:cs="Tahoma"/>
          <w:b/>
          <w:sz w:val="18"/>
          <w:szCs w:val="18"/>
        </w:rPr>
        <w:t xml:space="preserve">25 </w:t>
      </w:r>
      <w:r w:rsidRPr="00FF3248">
        <w:rPr>
          <w:rFonts w:ascii="Verdana" w:hAnsi="Verdana" w:cs="Tahoma"/>
          <w:b/>
          <w:sz w:val="18"/>
          <w:szCs w:val="18"/>
        </w:rPr>
        <w:t>Nisan 2014 Günlük İnsan Hakları Raporu</w:t>
      </w:r>
    </w:p>
    <w:p w:rsidR="00FF3248" w:rsidRDefault="00FF3248" w:rsidP="00FF3248">
      <w:pPr>
        <w:spacing w:after="120" w:line="300" w:lineRule="atLeast"/>
        <w:ind w:firstLine="709"/>
        <w:jc w:val="both"/>
        <w:rPr>
          <w:rFonts w:ascii="Verdana" w:hAnsi="Verdana"/>
          <w:b/>
          <w:sz w:val="18"/>
          <w:szCs w:val="18"/>
        </w:rPr>
      </w:pPr>
      <w:r>
        <w:rPr>
          <w:rFonts w:ascii="Verdana" w:hAnsi="Verdana"/>
          <w:b/>
          <w:sz w:val="18"/>
          <w:szCs w:val="18"/>
        </w:rPr>
        <w:t>(04/160) Ankara’da Polisin Darp Ettiği Kişiler…</w:t>
      </w:r>
    </w:p>
    <w:p w:rsidR="00FF3248" w:rsidRPr="00B454DF" w:rsidRDefault="00FF3248" w:rsidP="00FF3248">
      <w:pPr>
        <w:spacing w:after="120" w:line="300" w:lineRule="atLeast"/>
        <w:ind w:firstLine="709"/>
        <w:jc w:val="both"/>
        <w:rPr>
          <w:rFonts w:ascii="Verdana" w:hAnsi="Verdana"/>
          <w:sz w:val="18"/>
          <w:szCs w:val="18"/>
        </w:rPr>
      </w:pPr>
      <w:r>
        <w:rPr>
          <w:rFonts w:ascii="Verdana" w:hAnsi="Verdana"/>
          <w:sz w:val="18"/>
          <w:szCs w:val="18"/>
        </w:rPr>
        <w:t xml:space="preserve">Ankara’nın Mamak İlçesi’ne bağlı Akdere Mahallesi’nde 21 Nisan 2014’te, </w:t>
      </w:r>
      <w:r w:rsidRPr="00B454DF">
        <w:rPr>
          <w:rFonts w:ascii="Verdana" w:hAnsi="Verdana"/>
          <w:sz w:val="18"/>
          <w:szCs w:val="18"/>
        </w:rPr>
        <w:t xml:space="preserve">esnaflık yapan Erhan </w:t>
      </w:r>
      <w:r>
        <w:rPr>
          <w:rFonts w:ascii="Verdana" w:hAnsi="Verdana"/>
          <w:sz w:val="18"/>
          <w:szCs w:val="18"/>
        </w:rPr>
        <w:t xml:space="preserve">Topçu </w:t>
      </w:r>
      <w:r w:rsidRPr="00B454DF">
        <w:rPr>
          <w:rFonts w:ascii="Verdana" w:hAnsi="Verdana"/>
          <w:sz w:val="18"/>
          <w:szCs w:val="18"/>
        </w:rPr>
        <w:t xml:space="preserve">ve Rıdvan Topçu </w:t>
      </w:r>
      <w:r>
        <w:rPr>
          <w:rFonts w:ascii="Verdana" w:hAnsi="Verdana"/>
          <w:sz w:val="18"/>
          <w:szCs w:val="18"/>
        </w:rPr>
        <w:t xml:space="preserve">adlı </w:t>
      </w:r>
      <w:r w:rsidRPr="00B454DF">
        <w:rPr>
          <w:rFonts w:ascii="Verdana" w:hAnsi="Verdana"/>
          <w:sz w:val="18"/>
          <w:szCs w:val="18"/>
        </w:rPr>
        <w:t xml:space="preserve">kardeşler işyerlerinin önünde trafik uygulaması yapan polislerin yaya olmalarına rağmen </w:t>
      </w:r>
      <w:r>
        <w:rPr>
          <w:rFonts w:ascii="Verdana" w:hAnsi="Verdana"/>
          <w:sz w:val="18"/>
          <w:szCs w:val="18"/>
        </w:rPr>
        <w:t xml:space="preserve">kendilerinden </w:t>
      </w:r>
      <w:r w:rsidRPr="00B454DF">
        <w:rPr>
          <w:rFonts w:ascii="Verdana" w:hAnsi="Verdana"/>
          <w:sz w:val="18"/>
          <w:szCs w:val="18"/>
        </w:rPr>
        <w:t>ehliyet ve ruhsatlarını istediğini iddia etti.</w:t>
      </w:r>
    </w:p>
    <w:p w:rsidR="00FF3248" w:rsidRDefault="00FF3248" w:rsidP="00FF3248">
      <w:pPr>
        <w:spacing w:after="120" w:line="300" w:lineRule="atLeast"/>
        <w:ind w:firstLine="709"/>
        <w:jc w:val="both"/>
        <w:rPr>
          <w:rFonts w:ascii="Verdana" w:hAnsi="Verdana"/>
          <w:sz w:val="18"/>
          <w:szCs w:val="18"/>
        </w:rPr>
      </w:pPr>
      <w:r>
        <w:rPr>
          <w:rFonts w:ascii="Verdana" w:hAnsi="Verdana"/>
          <w:sz w:val="18"/>
          <w:szCs w:val="18"/>
        </w:rPr>
        <w:t>Konuyla ilgili açıklama yapan Erhan</w:t>
      </w:r>
      <w:r w:rsidRPr="00B454DF">
        <w:rPr>
          <w:rFonts w:ascii="Verdana" w:hAnsi="Verdana"/>
          <w:sz w:val="18"/>
          <w:szCs w:val="18"/>
        </w:rPr>
        <w:t xml:space="preserve"> Topçu, </w:t>
      </w:r>
      <w:r>
        <w:rPr>
          <w:rFonts w:ascii="Verdana" w:hAnsi="Verdana"/>
          <w:sz w:val="18"/>
          <w:szCs w:val="18"/>
        </w:rPr>
        <w:t xml:space="preserve">kontrolün </w:t>
      </w:r>
      <w:r w:rsidRPr="00B454DF">
        <w:rPr>
          <w:rFonts w:ascii="Verdana" w:hAnsi="Verdana"/>
          <w:sz w:val="18"/>
          <w:szCs w:val="18"/>
        </w:rPr>
        <w:t>sonrasında ekibin kendilerine c</w:t>
      </w:r>
      <w:r>
        <w:rPr>
          <w:rFonts w:ascii="Verdana" w:hAnsi="Verdana"/>
          <w:sz w:val="18"/>
          <w:szCs w:val="18"/>
        </w:rPr>
        <w:t>eza yazmak istediğini savunarak uygulamaya</w:t>
      </w:r>
      <w:r w:rsidRPr="00B454DF">
        <w:rPr>
          <w:rFonts w:ascii="Verdana" w:hAnsi="Verdana"/>
          <w:sz w:val="18"/>
          <w:szCs w:val="18"/>
        </w:rPr>
        <w:t xml:space="preserve"> itiraz etmeleri üzerine de polis</w:t>
      </w:r>
      <w:r>
        <w:rPr>
          <w:rFonts w:ascii="Verdana" w:hAnsi="Verdana"/>
          <w:sz w:val="18"/>
          <w:szCs w:val="18"/>
        </w:rPr>
        <w:t>lerin kendilerini darp ederek yüzlerine biber gazı sıktığını ifade etti.</w:t>
      </w:r>
    </w:p>
    <w:p w:rsidR="00FF3248" w:rsidRPr="001B0155" w:rsidRDefault="00FF3248" w:rsidP="00FF3248">
      <w:pPr>
        <w:spacing w:after="120" w:line="300" w:lineRule="atLeast"/>
        <w:ind w:firstLine="709"/>
        <w:jc w:val="both"/>
        <w:rPr>
          <w:rFonts w:ascii="Verdana" w:hAnsi="Verdana"/>
          <w:b/>
          <w:sz w:val="18"/>
          <w:szCs w:val="18"/>
        </w:rPr>
      </w:pPr>
      <w:r>
        <w:rPr>
          <w:rFonts w:ascii="Verdana" w:hAnsi="Verdana"/>
          <w:b/>
          <w:sz w:val="18"/>
          <w:szCs w:val="18"/>
        </w:rPr>
        <w:t xml:space="preserve">(04/161) </w:t>
      </w:r>
      <w:r w:rsidRPr="001B0155">
        <w:rPr>
          <w:rFonts w:ascii="Verdana" w:hAnsi="Verdana"/>
          <w:b/>
          <w:sz w:val="18"/>
          <w:szCs w:val="18"/>
        </w:rPr>
        <w:t>Gezi Parkı Eylemleri Nedeniyle Yargılanan Kişiler…</w:t>
      </w:r>
    </w:p>
    <w:p w:rsidR="00FF3248" w:rsidRPr="001B0155" w:rsidRDefault="00FF3248" w:rsidP="00FF3248">
      <w:pPr>
        <w:spacing w:after="120" w:line="300" w:lineRule="atLeast"/>
        <w:ind w:firstLine="709"/>
        <w:jc w:val="both"/>
        <w:rPr>
          <w:rFonts w:ascii="Verdana" w:hAnsi="Verdana"/>
          <w:sz w:val="18"/>
          <w:szCs w:val="18"/>
        </w:rPr>
      </w:pPr>
      <w:r w:rsidRPr="001B0155">
        <w:rPr>
          <w:rFonts w:ascii="Verdana" w:hAnsi="Verdana"/>
          <w:sz w:val="18"/>
          <w:szCs w:val="18"/>
        </w:rPr>
        <w:t>Gezi Parkı eylemlerine</w:t>
      </w:r>
      <w:r>
        <w:rPr>
          <w:rFonts w:ascii="Verdana" w:hAnsi="Verdana"/>
          <w:sz w:val="18"/>
          <w:szCs w:val="18"/>
        </w:rPr>
        <w:t xml:space="preserve"> destek vermek için Kırklareli’</w:t>
      </w:r>
      <w:r w:rsidRPr="001B0155">
        <w:rPr>
          <w:rFonts w:ascii="Verdana" w:hAnsi="Verdana"/>
          <w:sz w:val="18"/>
          <w:szCs w:val="18"/>
        </w:rPr>
        <w:t xml:space="preserve">de 2 Haziran 2013’te düzenlenen protesto gösterilerine katıldıkları gerekçesiyle haklarında dava açılan toplam </w:t>
      </w:r>
      <w:r>
        <w:rPr>
          <w:rFonts w:ascii="Verdana" w:hAnsi="Verdana"/>
          <w:sz w:val="18"/>
          <w:szCs w:val="18"/>
        </w:rPr>
        <w:t>124</w:t>
      </w:r>
      <w:r w:rsidRPr="001B0155">
        <w:rPr>
          <w:rFonts w:ascii="Verdana" w:hAnsi="Verdana"/>
          <w:sz w:val="18"/>
          <w:szCs w:val="18"/>
        </w:rPr>
        <w:t xml:space="preserve"> kişinin yargılanmasına </w:t>
      </w:r>
      <w:r>
        <w:rPr>
          <w:rFonts w:ascii="Verdana" w:hAnsi="Verdana"/>
          <w:sz w:val="18"/>
          <w:szCs w:val="18"/>
        </w:rPr>
        <w:t>2</w:t>
      </w:r>
      <w:r w:rsidRPr="001B0155">
        <w:rPr>
          <w:rFonts w:ascii="Verdana" w:hAnsi="Verdana"/>
          <w:sz w:val="18"/>
          <w:szCs w:val="18"/>
        </w:rPr>
        <w:t xml:space="preserve">4 Nisan 2014’te </w:t>
      </w:r>
      <w:r>
        <w:rPr>
          <w:rFonts w:ascii="Verdana" w:hAnsi="Verdana"/>
          <w:sz w:val="18"/>
          <w:szCs w:val="18"/>
        </w:rPr>
        <w:t>başlandı</w:t>
      </w:r>
      <w:r w:rsidRPr="001B0155">
        <w:rPr>
          <w:rFonts w:ascii="Verdana" w:hAnsi="Verdana"/>
          <w:sz w:val="18"/>
          <w:szCs w:val="18"/>
        </w:rPr>
        <w:t>.</w:t>
      </w:r>
    </w:p>
    <w:p w:rsidR="00FF3248" w:rsidRPr="00B454DF" w:rsidRDefault="00FF3248" w:rsidP="00FF3248">
      <w:pPr>
        <w:spacing w:after="120" w:line="300" w:lineRule="atLeast"/>
        <w:ind w:firstLine="709"/>
        <w:jc w:val="both"/>
        <w:rPr>
          <w:rFonts w:ascii="Verdana" w:hAnsi="Verdana"/>
          <w:sz w:val="18"/>
          <w:szCs w:val="18"/>
        </w:rPr>
      </w:pPr>
      <w:r>
        <w:rPr>
          <w:rFonts w:ascii="Verdana" w:hAnsi="Verdana"/>
          <w:sz w:val="18"/>
          <w:szCs w:val="18"/>
        </w:rPr>
        <w:t>124</w:t>
      </w:r>
      <w:r w:rsidRPr="001B0155">
        <w:rPr>
          <w:rFonts w:ascii="Verdana" w:hAnsi="Verdana"/>
          <w:sz w:val="18"/>
          <w:szCs w:val="18"/>
        </w:rPr>
        <w:t xml:space="preserve"> kişi hakkında “2911 sayılı Toplantı ve Gösteri Yürüyüşleri Yasası’na muhalefet ettikleri” suçlamasından açılan davanın Kırklareli 1. Asliye Ceza Mahkemesi’ndeki duruşmasında hâkim, </w:t>
      </w:r>
      <w:r>
        <w:rPr>
          <w:rFonts w:ascii="Verdana" w:hAnsi="Verdana"/>
          <w:sz w:val="18"/>
          <w:szCs w:val="18"/>
        </w:rPr>
        <w:t>“anayasal hakkın kullanıldığını” ifade ederek sanıkların tamamının</w:t>
      </w:r>
      <w:r w:rsidRPr="001B0155">
        <w:rPr>
          <w:rFonts w:ascii="Verdana" w:hAnsi="Verdana"/>
          <w:sz w:val="18"/>
          <w:szCs w:val="18"/>
        </w:rPr>
        <w:t xml:space="preserve"> beraat etmesine karar verdi. </w:t>
      </w:r>
    </w:p>
    <w:p w:rsidR="00FF3248" w:rsidRDefault="00FF3248" w:rsidP="00FF3248">
      <w:pPr>
        <w:spacing w:after="120" w:line="300" w:lineRule="atLeast"/>
        <w:ind w:firstLine="709"/>
        <w:jc w:val="both"/>
        <w:rPr>
          <w:rFonts w:ascii="Verdana" w:hAnsi="Verdana"/>
          <w:b/>
          <w:sz w:val="18"/>
          <w:szCs w:val="18"/>
        </w:rPr>
      </w:pPr>
      <w:r>
        <w:rPr>
          <w:rFonts w:ascii="Verdana" w:hAnsi="Verdana"/>
          <w:b/>
          <w:sz w:val="18"/>
          <w:szCs w:val="18"/>
        </w:rPr>
        <w:t>(04/162) Ağrı’da Ev Baskınları…</w:t>
      </w:r>
    </w:p>
    <w:p w:rsidR="00FF3248" w:rsidRPr="004D5047" w:rsidRDefault="00FF3248" w:rsidP="00FF3248">
      <w:pPr>
        <w:spacing w:after="120" w:line="300" w:lineRule="atLeast"/>
        <w:ind w:firstLine="709"/>
        <w:jc w:val="both"/>
        <w:rPr>
          <w:rFonts w:ascii="Verdana" w:hAnsi="Verdana"/>
          <w:sz w:val="18"/>
          <w:szCs w:val="18"/>
        </w:rPr>
      </w:pPr>
      <w:r w:rsidRPr="004D5047">
        <w:rPr>
          <w:rFonts w:ascii="Verdana" w:hAnsi="Verdana"/>
          <w:sz w:val="18"/>
          <w:szCs w:val="18"/>
        </w:rPr>
        <w:lastRenderedPageBreak/>
        <w:t>Ağrı’da 24 Nisan 2014’te eş zamanlı ev baskınları düzenleyen polis ekipleri “yasadışı örgüte yardım ve yataklık ettikleri” iddiasıyla 11 kişiyi gözaltına aldı.</w:t>
      </w:r>
    </w:p>
    <w:p w:rsidR="00FF3248" w:rsidRPr="00B76327" w:rsidRDefault="00FF3248" w:rsidP="00FF3248">
      <w:pPr>
        <w:spacing w:after="120" w:line="300" w:lineRule="atLeast"/>
        <w:ind w:firstLine="709"/>
        <w:jc w:val="both"/>
        <w:rPr>
          <w:rFonts w:ascii="Verdana" w:hAnsi="Verdana"/>
          <w:b/>
          <w:sz w:val="18"/>
          <w:szCs w:val="18"/>
        </w:rPr>
      </w:pPr>
      <w:r>
        <w:rPr>
          <w:rFonts w:ascii="Verdana" w:hAnsi="Verdana"/>
          <w:b/>
          <w:sz w:val="18"/>
          <w:szCs w:val="18"/>
        </w:rPr>
        <w:t xml:space="preserve">(04/163) </w:t>
      </w:r>
      <w:r w:rsidRPr="00B76327">
        <w:rPr>
          <w:rFonts w:ascii="Verdana" w:hAnsi="Verdana"/>
          <w:b/>
          <w:sz w:val="18"/>
          <w:szCs w:val="18"/>
        </w:rPr>
        <w:t>İstanbul’da Devam Eden KCK/TM Ana Davası…</w:t>
      </w:r>
    </w:p>
    <w:p w:rsidR="00FF3248" w:rsidRPr="00B76327" w:rsidRDefault="00FF3248" w:rsidP="00FF3248">
      <w:pPr>
        <w:spacing w:after="120" w:line="300" w:lineRule="atLeast"/>
        <w:ind w:firstLine="709"/>
        <w:jc w:val="both"/>
        <w:rPr>
          <w:rFonts w:ascii="Verdana" w:hAnsi="Verdana"/>
          <w:sz w:val="18"/>
          <w:szCs w:val="18"/>
        </w:rPr>
      </w:pPr>
      <w:r w:rsidRPr="00B76327">
        <w:rPr>
          <w:rFonts w:ascii="Verdana" w:hAnsi="Verdana"/>
          <w:sz w:val="18"/>
          <w:szCs w:val="18"/>
        </w:rPr>
        <w:t>İstanbul’da 2011 yılında çeşitli tarihlerde “KCK Soruşturması” adı altında düzenlenen operasyonların ardından haklarında dava açılan 205 kişiden tutuklu yargılanan 33 kişinin tahliye talepleri 24 Nisan 2014’te dosyaya bakan İstanbul 3. Ağır Ceza Mahkemesi tarafından değerlendirildi.</w:t>
      </w:r>
    </w:p>
    <w:p w:rsidR="00FF3248" w:rsidRDefault="00FF3248" w:rsidP="00FF3248">
      <w:pPr>
        <w:spacing w:after="120" w:line="300" w:lineRule="atLeast"/>
        <w:ind w:firstLine="709"/>
        <w:jc w:val="both"/>
        <w:rPr>
          <w:rFonts w:ascii="Verdana" w:hAnsi="Verdana"/>
          <w:sz w:val="18"/>
          <w:szCs w:val="18"/>
        </w:rPr>
      </w:pPr>
      <w:r w:rsidRPr="00B76327">
        <w:rPr>
          <w:rFonts w:ascii="Verdana" w:hAnsi="Verdana"/>
          <w:sz w:val="18"/>
          <w:szCs w:val="18"/>
        </w:rPr>
        <w:t xml:space="preserve">Özel yetkili mahkemelerin kaldırılmasının ardından dosyaya bakmakla görevlendirilen yeni mahkemesi heyeti, tutuklu sanıklardan tamamının </w:t>
      </w:r>
      <w:r>
        <w:rPr>
          <w:rFonts w:ascii="Verdana" w:hAnsi="Verdana"/>
          <w:sz w:val="18"/>
          <w:szCs w:val="18"/>
        </w:rPr>
        <w:t>tahliye edilmesine karar verdi.</w:t>
      </w:r>
    </w:p>
    <w:p w:rsidR="00FF3248" w:rsidRDefault="00FF3248" w:rsidP="00FF3248">
      <w:pPr>
        <w:spacing w:after="120" w:line="300" w:lineRule="atLeast"/>
        <w:ind w:firstLine="709"/>
        <w:jc w:val="both"/>
        <w:rPr>
          <w:rFonts w:ascii="Verdana" w:hAnsi="Verdana"/>
          <w:b/>
          <w:sz w:val="18"/>
          <w:szCs w:val="18"/>
        </w:rPr>
      </w:pPr>
      <w:r>
        <w:rPr>
          <w:rFonts w:ascii="Verdana" w:hAnsi="Verdana"/>
          <w:b/>
          <w:sz w:val="18"/>
          <w:szCs w:val="18"/>
        </w:rPr>
        <w:t>(04/164) Bolu’da İş Kazası…</w:t>
      </w:r>
    </w:p>
    <w:p w:rsidR="00FF3248" w:rsidRPr="00B454DF" w:rsidRDefault="00FF3248" w:rsidP="00FF3248">
      <w:pPr>
        <w:spacing w:after="120" w:line="300" w:lineRule="atLeast"/>
        <w:ind w:firstLine="709"/>
        <w:jc w:val="both"/>
        <w:rPr>
          <w:rFonts w:ascii="Verdana" w:hAnsi="Verdana"/>
          <w:sz w:val="18"/>
          <w:szCs w:val="18"/>
        </w:rPr>
      </w:pPr>
      <w:r w:rsidRPr="00B454DF">
        <w:rPr>
          <w:rFonts w:ascii="Verdana" w:hAnsi="Verdana"/>
          <w:sz w:val="18"/>
          <w:szCs w:val="18"/>
        </w:rPr>
        <w:t>B</w:t>
      </w:r>
      <w:r>
        <w:rPr>
          <w:rFonts w:ascii="Verdana" w:hAnsi="Verdana"/>
          <w:sz w:val="18"/>
          <w:szCs w:val="18"/>
        </w:rPr>
        <w:t>olu’</w:t>
      </w:r>
      <w:r w:rsidRPr="00B454DF">
        <w:rPr>
          <w:rFonts w:ascii="Verdana" w:hAnsi="Verdana"/>
          <w:sz w:val="18"/>
          <w:szCs w:val="18"/>
        </w:rPr>
        <w:t>da</w:t>
      </w:r>
      <w:r>
        <w:rPr>
          <w:rFonts w:ascii="Verdana" w:hAnsi="Verdana"/>
          <w:sz w:val="18"/>
          <w:szCs w:val="18"/>
        </w:rPr>
        <w:t xml:space="preserve"> faaliyet gösteren bir piliç tesisinde 19 Nisan 2014’te</w:t>
      </w:r>
      <w:r w:rsidRPr="00B454DF">
        <w:rPr>
          <w:rFonts w:ascii="Verdana" w:hAnsi="Verdana"/>
          <w:sz w:val="18"/>
          <w:szCs w:val="18"/>
        </w:rPr>
        <w:t>, ölçü almak için rende makinesinin içine giren Cuma Cılır</w:t>
      </w:r>
      <w:r>
        <w:rPr>
          <w:rFonts w:ascii="Verdana" w:hAnsi="Verdana"/>
          <w:sz w:val="18"/>
          <w:szCs w:val="18"/>
        </w:rPr>
        <w:t xml:space="preserve"> adlı teknisyen</w:t>
      </w:r>
      <w:r w:rsidRPr="00B454DF">
        <w:rPr>
          <w:rFonts w:ascii="Verdana" w:hAnsi="Verdana"/>
          <w:sz w:val="18"/>
          <w:szCs w:val="18"/>
        </w:rPr>
        <w:t xml:space="preserve">, bir işçinin yanlışlıkla şalteri açması sonucu </w:t>
      </w:r>
      <w:r>
        <w:rPr>
          <w:rFonts w:ascii="Verdana" w:hAnsi="Verdana"/>
          <w:sz w:val="18"/>
          <w:szCs w:val="18"/>
        </w:rPr>
        <w:t>parçalanarak yaşamını yitirdi.</w:t>
      </w:r>
    </w:p>
    <w:p w:rsidR="00FF3248" w:rsidRDefault="00FF3248" w:rsidP="00FF3248">
      <w:pPr>
        <w:spacing w:after="120" w:line="300" w:lineRule="atLeast"/>
        <w:ind w:firstLine="709"/>
        <w:jc w:val="both"/>
        <w:rPr>
          <w:rFonts w:ascii="Verdana" w:hAnsi="Verdana"/>
          <w:b/>
          <w:sz w:val="18"/>
          <w:szCs w:val="18"/>
        </w:rPr>
      </w:pPr>
      <w:r>
        <w:rPr>
          <w:rFonts w:ascii="Verdana" w:hAnsi="Verdana"/>
          <w:b/>
          <w:sz w:val="18"/>
          <w:szCs w:val="18"/>
        </w:rPr>
        <w:t>(04/165) İzmir’de İş Kazası…</w:t>
      </w:r>
    </w:p>
    <w:p w:rsidR="00FF3248" w:rsidRDefault="00FF3248" w:rsidP="00FF3248">
      <w:pPr>
        <w:spacing w:after="120" w:line="300" w:lineRule="atLeast"/>
        <w:ind w:firstLine="709"/>
        <w:jc w:val="both"/>
        <w:rPr>
          <w:rFonts w:ascii="Verdana" w:hAnsi="Verdana"/>
          <w:sz w:val="18"/>
          <w:szCs w:val="18"/>
        </w:rPr>
      </w:pPr>
      <w:r>
        <w:rPr>
          <w:rFonts w:ascii="Verdana" w:hAnsi="Verdana"/>
          <w:sz w:val="18"/>
          <w:szCs w:val="18"/>
        </w:rPr>
        <w:t>İzmir’</w:t>
      </w:r>
      <w:r w:rsidRPr="00B454DF">
        <w:rPr>
          <w:rFonts w:ascii="Verdana" w:hAnsi="Verdana"/>
          <w:sz w:val="18"/>
          <w:szCs w:val="18"/>
        </w:rPr>
        <w:t xml:space="preserve">in Çiğli </w:t>
      </w:r>
      <w:r>
        <w:rPr>
          <w:rFonts w:ascii="Verdana" w:hAnsi="Verdana"/>
          <w:sz w:val="18"/>
          <w:szCs w:val="18"/>
        </w:rPr>
        <w:t>İ</w:t>
      </w:r>
      <w:r w:rsidRPr="00B454DF">
        <w:rPr>
          <w:rFonts w:ascii="Verdana" w:hAnsi="Verdana"/>
          <w:sz w:val="18"/>
          <w:szCs w:val="18"/>
        </w:rPr>
        <w:t>lçesi</w:t>
      </w:r>
      <w:r>
        <w:rPr>
          <w:rFonts w:ascii="Verdana" w:hAnsi="Verdana"/>
          <w:sz w:val="18"/>
          <w:szCs w:val="18"/>
        </w:rPr>
        <w:t>’</w:t>
      </w:r>
      <w:r w:rsidRPr="00B454DF">
        <w:rPr>
          <w:rFonts w:ascii="Verdana" w:hAnsi="Verdana"/>
          <w:sz w:val="18"/>
          <w:szCs w:val="18"/>
        </w:rPr>
        <w:t xml:space="preserve">nde </w:t>
      </w:r>
      <w:r>
        <w:rPr>
          <w:rFonts w:ascii="Verdana" w:hAnsi="Verdana"/>
          <w:sz w:val="18"/>
          <w:szCs w:val="18"/>
        </w:rPr>
        <w:t xml:space="preserve">24 Nisan 2014’te, </w:t>
      </w:r>
      <w:r w:rsidRPr="00B454DF">
        <w:rPr>
          <w:rFonts w:ascii="Verdana" w:hAnsi="Verdana"/>
          <w:sz w:val="18"/>
          <w:szCs w:val="18"/>
        </w:rPr>
        <w:t>bir inşaatın 7. katında sıva yapan işçilerin üzerinde bulunduğu tahta iskele devril</w:t>
      </w:r>
      <w:r>
        <w:rPr>
          <w:rFonts w:ascii="Verdana" w:hAnsi="Verdana"/>
          <w:sz w:val="18"/>
          <w:szCs w:val="18"/>
        </w:rPr>
        <w:t>mesi sonucu i</w:t>
      </w:r>
      <w:r w:rsidRPr="00B454DF">
        <w:rPr>
          <w:rFonts w:ascii="Verdana" w:hAnsi="Verdana"/>
          <w:sz w:val="18"/>
          <w:szCs w:val="18"/>
        </w:rPr>
        <w:t xml:space="preserve">skelede bulunan işçilerden Metin Kaptan (38) ve Mithat Kocatepe (44) aşağı düşerek </w:t>
      </w:r>
      <w:r>
        <w:rPr>
          <w:rFonts w:ascii="Verdana" w:hAnsi="Verdana"/>
          <w:sz w:val="18"/>
          <w:szCs w:val="18"/>
        </w:rPr>
        <w:t>yaşamını yitirdi.</w:t>
      </w:r>
    </w:p>
    <w:p w:rsidR="00FF3248" w:rsidRDefault="00FF3248" w:rsidP="00FF3248">
      <w:pPr>
        <w:spacing w:after="120" w:line="300" w:lineRule="atLeast"/>
        <w:ind w:firstLine="709"/>
        <w:jc w:val="both"/>
        <w:rPr>
          <w:rFonts w:ascii="Verdana" w:hAnsi="Verdana"/>
          <w:b/>
          <w:sz w:val="18"/>
          <w:szCs w:val="18"/>
        </w:rPr>
      </w:pPr>
      <w:r>
        <w:rPr>
          <w:rFonts w:ascii="Verdana" w:hAnsi="Verdana"/>
          <w:b/>
          <w:sz w:val="18"/>
          <w:szCs w:val="18"/>
        </w:rPr>
        <w:t>(04/166) Diyarbakır’da Alıkonan Kişiler…</w:t>
      </w:r>
    </w:p>
    <w:p w:rsidR="00FF3248" w:rsidRDefault="00FF3248" w:rsidP="00FF3248">
      <w:pPr>
        <w:spacing w:after="120" w:line="300" w:lineRule="atLeast"/>
        <w:ind w:firstLine="709"/>
        <w:jc w:val="both"/>
        <w:rPr>
          <w:rFonts w:ascii="Verdana" w:hAnsi="Verdana"/>
          <w:sz w:val="18"/>
          <w:szCs w:val="18"/>
        </w:rPr>
      </w:pPr>
      <w:r>
        <w:rPr>
          <w:rFonts w:ascii="Verdana" w:hAnsi="Verdana"/>
          <w:sz w:val="18"/>
          <w:szCs w:val="18"/>
        </w:rPr>
        <w:t xml:space="preserve">Diyarbakır’ın </w:t>
      </w:r>
      <w:r w:rsidRPr="00B454DF">
        <w:rPr>
          <w:rFonts w:ascii="Verdana" w:hAnsi="Verdana"/>
          <w:sz w:val="18"/>
          <w:szCs w:val="18"/>
        </w:rPr>
        <w:t>Lice</w:t>
      </w:r>
      <w:r>
        <w:rPr>
          <w:rFonts w:ascii="Verdana" w:hAnsi="Verdana"/>
          <w:sz w:val="18"/>
          <w:szCs w:val="18"/>
        </w:rPr>
        <w:t xml:space="preserve"> İlçesi’nde 24 Nisan 2014’te, </w:t>
      </w:r>
      <w:r w:rsidRPr="00B454DF">
        <w:rPr>
          <w:rFonts w:ascii="Verdana" w:hAnsi="Verdana"/>
          <w:sz w:val="18"/>
          <w:szCs w:val="18"/>
        </w:rPr>
        <w:t xml:space="preserve">bir </w:t>
      </w:r>
      <w:r>
        <w:rPr>
          <w:rFonts w:ascii="Verdana" w:hAnsi="Verdana"/>
          <w:sz w:val="18"/>
          <w:szCs w:val="18"/>
        </w:rPr>
        <w:t>cep telefonu operatörüne ait baz istasyonu inşaatında çalışan 7 kişi PKK militanı oldukları iddia edilen kişilerce alıkondu.</w:t>
      </w:r>
    </w:p>
    <w:p w:rsidR="00FF3248" w:rsidRPr="00FF3248" w:rsidRDefault="00FF3248" w:rsidP="00FF3248">
      <w:pPr>
        <w:spacing w:after="120" w:line="300" w:lineRule="atLeast"/>
        <w:ind w:firstLine="709"/>
        <w:jc w:val="both"/>
        <w:rPr>
          <w:rFonts w:ascii="Verdana" w:hAnsi="Verdana"/>
          <w:sz w:val="18"/>
          <w:szCs w:val="18"/>
        </w:rPr>
      </w:pPr>
      <w:r>
        <w:rPr>
          <w:rFonts w:ascii="Verdana" w:hAnsi="Verdana"/>
          <w:sz w:val="18"/>
          <w:szCs w:val="18"/>
        </w:rPr>
        <w:t>Kimliği belirsiz grubun 5 kişiyi serbest bıraktıktan sonra 2 kişiyi yanlarında götürdükleri bildirildi.</w:t>
      </w:r>
      <w:bookmarkEnd w:id="0"/>
    </w:p>
    <w:sectPr w:rsidR="00FF3248" w:rsidRPr="00FF324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CC2" w:rsidRDefault="00642CC2">
      <w:r>
        <w:separator/>
      </w:r>
    </w:p>
  </w:endnote>
  <w:endnote w:type="continuationSeparator" w:id="0">
    <w:p w:rsidR="00642CC2" w:rsidRDefault="0064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9A" w:rsidRDefault="00D1779A" w:rsidP="002D33A9">
    <w:pPr>
      <w:spacing w:after="120" w:line="300" w:lineRule="atLeast"/>
      <w:jc w:val="both"/>
      <w:rPr>
        <w:rFonts w:ascii="Trebuchet MS" w:hAnsi="Trebuchet MS"/>
        <w:sz w:val="16"/>
        <w:szCs w:val="16"/>
      </w:rPr>
    </w:pPr>
    <w:r>
      <w:rPr>
        <w:rFonts w:ascii="Trebuchet MS" w:hAnsi="Trebuchet MS"/>
        <w:sz w:val="16"/>
        <w:szCs w:val="16"/>
      </w:rPr>
      <w:t>Genel Kaynak ve Bilgi Notu:</w:t>
    </w:r>
  </w:p>
  <w:p w:rsidR="002D33A9" w:rsidRPr="00551792" w:rsidRDefault="002D33A9" w:rsidP="002D33A9">
    <w:pPr>
      <w:spacing w:after="120" w:line="300" w:lineRule="atLeast"/>
      <w:jc w:val="both"/>
      <w:rPr>
        <w:rFonts w:ascii="Trebuchet MS" w:hAnsi="Trebuchet MS"/>
        <w:sz w:val="16"/>
        <w:szCs w:val="16"/>
      </w:rPr>
    </w:pPr>
    <w:r w:rsidRPr="00551792">
      <w:rPr>
        <w:rFonts w:ascii="Trebuchet MS" w:hAnsi="Trebuchet MS"/>
        <w:sz w:val="16"/>
        <w:szCs w:val="16"/>
      </w:rPr>
      <w:t>Günlük İnsan Hakları Raporu,</w:t>
    </w:r>
  </w:p>
  <w:p w:rsidR="002D33A9" w:rsidRPr="00551792" w:rsidRDefault="002D33A9" w:rsidP="002D33A9">
    <w:pPr>
      <w:spacing w:after="120" w:line="300" w:lineRule="atLeast"/>
      <w:jc w:val="both"/>
      <w:rPr>
        <w:rFonts w:ascii="Trebuchet MS" w:hAnsi="Trebuchet MS"/>
        <w:sz w:val="16"/>
        <w:szCs w:val="16"/>
      </w:rPr>
    </w:pPr>
    <w:r w:rsidRPr="00551792">
      <w:rPr>
        <w:rFonts w:ascii="Trebuchet MS" w:hAnsi="Trebuchet MS"/>
        <w:sz w:val="16"/>
        <w:szCs w:val="16"/>
      </w:rPr>
      <w:t xml:space="preserve">Dokümantasyon Merkezi’nin her gün taradığı aşağıdaki gazete, haber ajansı ve internet sitesi haberlerinden </w:t>
    </w:r>
    <w:r>
      <w:rPr>
        <w:rFonts w:ascii="Trebuchet MS" w:hAnsi="Trebuchet MS"/>
        <w:sz w:val="16"/>
        <w:szCs w:val="16"/>
      </w:rPr>
      <w:t xml:space="preserve">ve TİHV’nin ilişki ağından edindiği bilgilerden yararlanılarak hazırlanmaktadır: </w:t>
    </w:r>
    <w:r w:rsidRPr="00551792">
      <w:rPr>
        <w:rFonts w:ascii="Trebuchet MS" w:hAnsi="Trebuchet MS"/>
        <w:sz w:val="16"/>
        <w:szCs w:val="16"/>
      </w:rPr>
      <w:t xml:space="preserve">Akşam, Zaman, Yeni Şafak, Vatan, Star, Sabah, Radikal, Milliyet, Hürriyet, Evrensel, Birgün, Cumhuriyet, Vakit, Fırat Haber Ajansı, </w:t>
    </w:r>
    <w:r w:rsidR="00794998">
      <w:rPr>
        <w:rFonts w:ascii="Trebuchet MS" w:hAnsi="Trebuchet MS"/>
        <w:sz w:val="16"/>
        <w:szCs w:val="16"/>
      </w:rPr>
      <w:t>ETHA, DİHA</w:t>
    </w:r>
    <w:r w:rsidRPr="00551792">
      <w:rPr>
        <w:rFonts w:ascii="Trebuchet MS" w:hAnsi="Trebuchet MS"/>
        <w:sz w:val="16"/>
        <w:szCs w:val="16"/>
      </w:rPr>
      <w:t xml:space="preserve">, </w:t>
    </w:r>
    <w:r w:rsidR="00D1779A">
      <w:rPr>
        <w:rFonts w:ascii="Trebuchet MS" w:hAnsi="Trebuchet MS"/>
        <w:sz w:val="16"/>
        <w:szCs w:val="16"/>
      </w:rPr>
      <w:t xml:space="preserve">Yurt, </w:t>
    </w:r>
    <w:r w:rsidRPr="00551792">
      <w:rPr>
        <w:rFonts w:ascii="Trebuchet MS" w:hAnsi="Trebuchet MS"/>
        <w:sz w:val="16"/>
        <w:szCs w:val="16"/>
      </w:rPr>
      <w:t xml:space="preserve">Gündem, Ntvmsnbc.com, Bianet.org, İndymedia.org, Sesonline.net, Gazetem.net, Haber7.com, Yeni Özgür Politika, </w:t>
    </w:r>
    <w:r w:rsidR="00794998">
      <w:rPr>
        <w:rFonts w:ascii="Trebuchet MS" w:hAnsi="Trebuchet MS"/>
        <w:sz w:val="16"/>
        <w:szCs w:val="16"/>
      </w:rPr>
      <w:t>Türkiye, Bugün</w:t>
    </w:r>
    <w:r w:rsidRPr="00551792">
      <w:rPr>
        <w:rFonts w:ascii="Trebuchet MS" w:hAnsi="Trebuchet MS"/>
        <w:sz w:val="16"/>
        <w:szCs w:val="16"/>
      </w:rPr>
      <w:t>, Halkinsesi.tv, Cnnturk, Alinteri, Kızılbayrak, Taraf</w:t>
    </w:r>
    <w:r w:rsidR="00D9298F">
      <w:rPr>
        <w:rFonts w:ascii="Trebuchet MS" w:hAnsi="Trebuchet MS"/>
        <w:sz w:val="16"/>
        <w:szCs w:val="16"/>
      </w:rPr>
      <w:t>, Habertürk, Özgür Radyo</w:t>
    </w:r>
    <w:r w:rsidRPr="00551792">
      <w:rPr>
        <w:rFonts w:ascii="Trebuchet MS" w:hAnsi="Trebuchet MS"/>
        <w:sz w:val="16"/>
        <w:szCs w:val="16"/>
      </w:rPr>
      <w:t>.</w:t>
    </w:r>
  </w:p>
  <w:p w:rsidR="002D33A9" w:rsidRDefault="00726509" w:rsidP="002D33A9">
    <w:pPr>
      <w:spacing w:after="120" w:line="300" w:lineRule="atLeast"/>
      <w:jc w:val="both"/>
      <w:rPr>
        <w:rFonts w:ascii="Trebuchet MS" w:hAnsi="Trebuchet MS"/>
        <w:sz w:val="16"/>
        <w:szCs w:val="16"/>
      </w:rPr>
    </w:pPr>
    <w:r>
      <w:rPr>
        <w:rFonts w:ascii="Trebuchet MS" w:hAnsi="Trebuchet MS"/>
        <w:sz w:val="16"/>
        <w:szCs w:val="16"/>
      </w:rPr>
      <w:t>Evren Özer</w:t>
    </w:r>
  </w:p>
  <w:p w:rsidR="00FC77E5" w:rsidRPr="002D33A9" w:rsidRDefault="00FC77E5" w:rsidP="002D33A9">
    <w:pPr>
      <w:pStyle w:val="Altbilgi"/>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CC2" w:rsidRDefault="00642CC2">
      <w:r>
        <w:separator/>
      </w:r>
    </w:p>
  </w:footnote>
  <w:footnote w:type="continuationSeparator" w:id="0">
    <w:p w:rsidR="00642CC2" w:rsidRDefault="00642CC2">
      <w:r>
        <w:continuationSeparator/>
      </w:r>
    </w:p>
  </w:footnote>
  <w:footnote w:id="1">
    <w:p w:rsidR="006B1A77" w:rsidRDefault="006B1A77" w:rsidP="006B1A77">
      <w:pPr>
        <w:pStyle w:val="DipnotMetni"/>
      </w:pPr>
      <w:r>
        <w:rPr>
          <w:rStyle w:val="DipnotBavurusu"/>
        </w:rPr>
        <w:footnoteRef/>
      </w:r>
      <w:r>
        <w:t xml:space="preserve"> Dokümantasyon Merkezi’nin hak ihlali raporu kesinleşmediği ölçüde iddiadır, ihlal iddiası yargı kararları dahil olmak üzere Dokümantasyon Merkezi’nin derinlikli araştırmaları sonucu ya kesinleşerek veri olur veya hak ihlali bilânçosundan çıkarılır.</w:t>
      </w:r>
    </w:p>
  </w:footnote>
  <w:footnote w:id="2">
    <w:p w:rsidR="002F4832" w:rsidRDefault="002F4832">
      <w:pPr>
        <w:pStyle w:val="DipnotMetni"/>
      </w:pPr>
      <w:r>
        <w:rPr>
          <w:rStyle w:val="DipnotBavurusu"/>
        </w:rPr>
        <w:footnoteRef/>
      </w:r>
      <w:r>
        <w:t xml:space="preserve"> E-posta grubuna üye olmak için: </w:t>
      </w:r>
      <w:hyperlink r:id="rId1" w:history="1">
        <w:r w:rsidRPr="001D43E6">
          <w:rPr>
            <w:rStyle w:val="Kpr"/>
          </w:rPr>
          <w:t>eozer@tihv.org.tr</w:t>
        </w:r>
      </w:hyperlink>
      <w:r>
        <w:t xml:space="preserve"> adresine konu başlığına “günlük insan hakları raporu üyelik talebi” yazarak boş e-posta atınız.</w:t>
      </w:r>
    </w:p>
  </w:footnote>
  <w:footnote w:id="3">
    <w:p w:rsidR="00822724" w:rsidRDefault="00822724">
      <w:pPr>
        <w:pStyle w:val="DipnotMetni"/>
      </w:pPr>
      <w:r>
        <w:rPr>
          <w:rStyle w:val="DipnotBavurusu"/>
        </w:rPr>
        <w:footnoteRef/>
      </w:r>
      <w:r>
        <w:t xml:space="preserve"> </w:t>
      </w:r>
      <w:r w:rsidRPr="00822724">
        <w:t>https://www.facebook.com/TIHV.HRFT</w:t>
      </w:r>
    </w:p>
  </w:footnote>
  <w:footnote w:id="4">
    <w:p w:rsidR="00BC6ED6" w:rsidRDefault="00BC6ED6">
      <w:pPr>
        <w:pStyle w:val="DipnotMetni"/>
      </w:pPr>
      <w:r>
        <w:rPr>
          <w:rStyle w:val="DipnotBavurusu"/>
        </w:rPr>
        <w:footnoteRef/>
      </w:r>
      <w:r>
        <w:t xml:space="preserve"> </w:t>
      </w:r>
      <w:r w:rsidR="00C82F6F" w:rsidRPr="00C82F6F">
        <w:t>https://twitter.com/insanhaklari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58" w:rsidRDefault="00CB4658" w:rsidP="00CB4658">
    <w:pPr>
      <w:pStyle w:val="stbilgi"/>
      <w:pBdr>
        <w:bottom w:val="single" w:sz="4" w:space="1" w:color="D9D9D9"/>
      </w:pBdr>
      <w:jc w:val="right"/>
      <w:rPr>
        <w:b/>
        <w:bCs/>
      </w:rPr>
    </w:pPr>
    <w:r w:rsidRPr="00CB4658">
      <w:rPr>
        <w:color w:val="808080"/>
        <w:spacing w:val="60"/>
      </w:rPr>
      <w:t>Sayfa</w:t>
    </w:r>
    <w:r>
      <w:t xml:space="preserve"> | </w:t>
    </w:r>
    <w:r>
      <w:fldChar w:fldCharType="begin"/>
    </w:r>
    <w:r>
      <w:instrText>PAGE   \* MERGEFORMAT</w:instrText>
    </w:r>
    <w:r>
      <w:fldChar w:fldCharType="separate"/>
    </w:r>
    <w:r w:rsidR="00642CC2" w:rsidRPr="00642CC2">
      <w:rPr>
        <w:b/>
        <w:bCs/>
        <w:noProof/>
      </w:rPr>
      <w:t>1</w:t>
    </w:r>
    <w:r>
      <w:rPr>
        <w:b/>
        <w:bCs/>
      </w:rPr>
      <w:fldChar w:fldCharType="end"/>
    </w:r>
  </w:p>
  <w:p w:rsidR="00CB4658" w:rsidRDefault="00CB46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7E5"/>
    <w:rsid w:val="00021CD0"/>
    <w:rsid w:val="00025F22"/>
    <w:rsid w:val="00082BD9"/>
    <w:rsid w:val="000A2F7E"/>
    <w:rsid w:val="000C75EB"/>
    <w:rsid w:val="00167BD7"/>
    <w:rsid w:val="00176682"/>
    <w:rsid w:val="001C5C18"/>
    <w:rsid w:val="001E71B4"/>
    <w:rsid w:val="002D12A7"/>
    <w:rsid w:val="002D1CEF"/>
    <w:rsid w:val="002D33A9"/>
    <w:rsid w:val="002F4832"/>
    <w:rsid w:val="003308C9"/>
    <w:rsid w:val="00417C6E"/>
    <w:rsid w:val="00425C1F"/>
    <w:rsid w:val="004E3CB3"/>
    <w:rsid w:val="005460F8"/>
    <w:rsid w:val="005543A2"/>
    <w:rsid w:val="005674A3"/>
    <w:rsid w:val="00591137"/>
    <w:rsid w:val="005C4B34"/>
    <w:rsid w:val="005E7F50"/>
    <w:rsid w:val="00601309"/>
    <w:rsid w:val="00642CC2"/>
    <w:rsid w:val="00672FD5"/>
    <w:rsid w:val="006A2A98"/>
    <w:rsid w:val="006B1A77"/>
    <w:rsid w:val="006C0493"/>
    <w:rsid w:val="0070081E"/>
    <w:rsid w:val="00726509"/>
    <w:rsid w:val="00794998"/>
    <w:rsid w:val="007A54B6"/>
    <w:rsid w:val="007C5814"/>
    <w:rsid w:val="007E4E3E"/>
    <w:rsid w:val="00822724"/>
    <w:rsid w:val="008964AA"/>
    <w:rsid w:val="008A6096"/>
    <w:rsid w:val="009D079A"/>
    <w:rsid w:val="009D72EC"/>
    <w:rsid w:val="00A12939"/>
    <w:rsid w:val="00A506E4"/>
    <w:rsid w:val="00A562A6"/>
    <w:rsid w:val="00A6469C"/>
    <w:rsid w:val="00B07CAB"/>
    <w:rsid w:val="00B83E05"/>
    <w:rsid w:val="00BA5D45"/>
    <w:rsid w:val="00BC6ED6"/>
    <w:rsid w:val="00C55BAC"/>
    <w:rsid w:val="00C755A6"/>
    <w:rsid w:val="00C82F6F"/>
    <w:rsid w:val="00C84AFF"/>
    <w:rsid w:val="00CB4658"/>
    <w:rsid w:val="00CC2377"/>
    <w:rsid w:val="00CC7150"/>
    <w:rsid w:val="00CE4BBE"/>
    <w:rsid w:val="00D1779A"/>
    <w:rsid w:val="00D22BB3"/>
    <w:rsid w:val="00D2707E"/>
    <w:rsid w:val="00D3396A"/>
    <w:rsid w:val="00D9298F"/>
    <w:rsid w:val="00D9771D"/>
    <w:rsid w:val="00E31390"/>
    <w:rsid w:val="00E4616B"/>
    <w:rsid w:val="00E5524C"/>
    <w:rsid w:val="00E75C80"/>
    <w:rsid w:val="00E92EED"/>
    <w:rsid w:val="00F34172"/>
    <w:rsid w:val="00F828AE"/>
    <w:rsid w:val="00F83994"/>
    <w:rsid w:val="00FC77E5"/>
    <w:rsid w:val="00FC79A2"/>
    <w:rsid w:val="00FF32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rsid w:val="00025F22"/>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025F22"/>
    <w:pPr>
      <w:keepNext/>
      <w:spacing w:before="240" w:after="60"/>
      <w:outlineLvl w:val="1"/>
    </w:pPr>
    <w:rPr>
      <w:rFonts w:ascii="Arial" w:hAnsi="Arial" w:cs="Arial"/>
      <w:b/>
      <w:bCs/>
      <w:i/>
      <w:iCs/>
      <w:sz w:val="28"/>
      <w:szCs w:val="28"/>
    </w:rPr>
  </w:style>
  <w:style w:type="paragraph" w:styleId="Balk4">
    <w:name w:val="heading 4"/>
    <w:basedOn w:val="Normal"/>
    <w:next w:val="Normal"/>
    <w:qFormat/>
    <w:rsid w:val="00D9298F"/>
    <w:pPr>
      <w:keepNext/>
      <w:spacing w:before="240" w:after="60"/>
      <w:outlineLvl w:val="3"/>
    </w:pPr>
    <w:rPr>
      <w:b/>
      <w:bCs/>
      <w:sz w:val="28"/>
      <w:szCs w:val="28"/>
      <w:lang w:val="en-US" w:eastAsia="en-US"/>
    </w:rPr>
  </w:style>
  <w:style w:type="paragraph" w:styleId="Balk8">
    <w:name w:val="heading 8"/>
    <w:basedOn w:val="Normal"/>
    <w:next w:val="Normal"/>
    <w:qFormat/>
    <w:rsid w:val="00D9298F"/>
    <w:pPr>
      <w:spacing w:before="240" w:after="60"/>
      <w:outlineLvl w:val="7"/>
    </w:pPr>
    <w:rPr>
      <w:i/>
      <w:i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C77E5"/>
    <w:pPr>
      <w:tabs>
        <w:tab w:val="center" w:pos="4536"/>
        <w:tab w:val="right" w:pos="9072"/>
      </w:tabs>
    </w:pPr>
  </w:style>
  <w:style w:type="paragraph" w:styleId="Altbilgi">
    <w:name w:val="footer"/>
    <w:basedOn w:val="Normal"/>
    <w:link w:val="AltbilgiChar"/>
    <w:uiPriority w:val="99"/>
    <w:rsid w:val="00FC77E5"/>
    <w:pPr>
      <w:tabs>
        <w:tab w:val="center" w:pos="4536"/>
        <w:tab w:val="right" w:pos="9072"/>
      </w:tabs>
    </w:pPr>
  </w:style>
  <w:style w:type="character" w:styleId="Kpr">
    <w:name w:val="Hyperlink"/>
    <w:rsid w:val="00D9298F"/>
    <w:rPr>
      <w:color w:val="0000FF"/>
      <w:u w:val="single"/>
    </w:rPr>
  </w:style>
  <w:style w:type="paragraph" w:styleId="DipnotMetni">
    <w:name w:val="footnote text"/>
    <w:basedOn w:val="Normal"/>
    <w:semiHidden/>
    <w:rsid w:val="006B1A77"/>
    <w:rPr>
      <w:sz w:val="20"/>
      <w:szCs w:val="20"/>
    </w:rPr>
  </w:style>
  <w:style w:type="character" w:styleId="DipnotBavurusu">
    <w:name w:val="footnote reference"/>
    <w:semiHidden/>
    <w:rsid w:val="006B1A77"/>
    <w:rPr>
      <w:vertAlign w:val="superscript"/>
    </w:rPr>
  </w:style>
  <w:style w:type="paragraph" w:styleId="GvdeMetniGirintisi">
    <w:name w:val="Body Text Indent"/>
    <w:basedOn w:val="Normal"/>
    <w:rsid w:val="00025F22"/>
    <w:pPr>
      <w:spacing w:after="60"/>
      <w:ind w:firstLine="567"/>
      <w:jc w:val="both"/>
    </w:pPr>
    <w:rPr>
      <w:rFonts w:ascii="Arial Narrow" w:hAnsi="Arial Narrow"/>
      <w:sz w:val="22"/>
      <w:szCs w:val="20"/>
    </w:rPr>
  </w:style>
  <w:style w:type="paragraph" w:styleId="GvdeMetniGirintisi2">
    <w:name w:val="Body Text Indent 2"/>
    <w:basedOn w:val="Normal"/>
    <w:rsid w:val="00025F22"/>
    <w:pPr>
      <w:spacing w:after="60"/>
      <w:ind w:firstLine="567"/>
      <w:jc w:val="both"/>
    </w:pPr>
    <w:rPr>
      <w:rFonts w:ascii="Arial Narrow" w:hAnsi="Arial Narrow"/>
      <w:sz w:val="20"/>
      <w:szCs w:val="20"/>
    </w:rPr>
  </w:style>
  <w:style w:type="paragraph" w:styleId="GvdeMetniGirintisi3">
    <w:name w:val="Body Text Indent 3"/>
    <w:basedOn w:val="Normal"/>
    <w:rsid w:val="00025F22"/>
    <w:pPr>
      <w:spacing w:after="120"/>
      <w:ind w:left="283"/>
    </w:pPr>
    <w:rPr>
      <w:sz w:val="16"/>
      <w:szCs w:val="16"/>
    </w:rPr>
  </w:style>
  <w:style w:type="paragraph" w:customStyle="1" w:styleId="GvdeMetni21">
    <w:name w:val="Gövde Metni 21"/>
    <w:basedOn w:val="Normal"/>
    <w:rsid w:val="00025F22"/>
    <w:pPr>
      <w:overflowPunct w:val="0"/>
      <w:autoSpaceDE w:val="0"/>
      <w:autoSpaceDN w:val="0"/>
      <w:adjustRightInd w:val="0"/>
      <w:spacing w:after="120" w:line="300" w:lineRule="atLeast"/>
      <w:jc w:val="both"/>
      <w:textAlignment w:val="baseline"/>
    </w:pPr>
    <w:rPr>
      <w:rFonts w:ascii="Arial Narrow" w:hAnsi="Arial Narrow"/>
      <w:sz w:val="22"/>
      <w:szCs w:val="20"/>
    </w:rPr>
  </w:style>
  <w:style w:type="paragraph" w:styleId="GvdeMetni">
    <w:name w:val="Body Text"/>
    <w:basedOn w:val="Normal"/>
    <w:rsid w:val="00025F22"/>
    <w:pPr>
      <w:spacing w:after="120"/>
    </w:pPr>
  </w:style>
  <w:style w:type="paragraph" w:styleId="NormalWeb">
    <w:name w:val="Normal (Web)"/>
    <w:basedOn w:val="Normal"/>
    <w:rsid w:val="00025F22"/>
    <w:pPr>
      <w:spacing w:before="100" w:beforeAutospacing="1" w:after="100" w:afterAutospacing="1"/>
    </w:pPr>
    <w:rPr>
      <w:rFonts w:ascii="Arial" w:eastAsia="Arial Unicode MS" w:hAnsi="Arial" w:cs="Arial"/>
      <w:color w:val="000000"/>
      <w:sz w:val="18"/>
      <w:szCs w:val="18"/>
    </w:rPr>
  </w:style>
  <w:style w:type="character" w:styleId="Gl">
    <w:name w:val="Strong"/>
    <w:qFormat/>
    <w:rsid w:val="00025F22"/>
    <w:rPr>
      <w:b/>
      <w:bCs/>
    </w:rPr>
  </w:style>
  <w:style w:type="character" w:styleId="Vurgu">
    <w:name w:val="Emphasis"/>
    <w:qFormat/>
    <w:rsid w:val="00025F22"/>
    <w:rPr>
      <w:i/>
      <w:iCs/>
    </w:rPr>
  </w:style>
  <w:style w:type="paragraph" w:customStyle="1" w:styleId="stil1">
    <w:name w:val="stil1"/>
    <w:basedOn w:val="Normal"/>
    <w:rsid w:val="00025F22"/>
    <w:pPr>
      <w:spacing w:before="100" w:beforeAutospacing="1" w:after="100" w:afterAutospacing="1"/>
    </w:pPr>
  </w:style>
  <w:style w:type="character" w:customStyle="1" w:styleId="apple-converted-space">
    <w:name w:val="apple-converted-space"/>
    <w:basedOn w:val="VarsaylanParagrafYazTipi"/>
    <w:rsid w:val="00025F22"/>
  </w:style>
  <w:style w:type="character" w:customStyle="1" w:styleId="stbilgiChar">
    <w:name w:val="Üstbilgi Char"/>
    <w:link w:val="stbilgi"/>
    <w:uiPriority w:val="99"/>
    <w:rsid w:val="00D2707E"/>
    <w:rPr>
      <w:sz w:val="24"/>
      <w:szCs w:val="24"/>
    </w:rPr>
  </w:style>
  <w:style w:type="character" w:customStyle="1" w:styleId="AltbilgiChar">
    <w:name w:val="Altbilgi Char"/>
    <w:link w:val="Altbilgi"/>
    <w:uiPriority w:val="99"/>
    <w:rsid w:val="00CC23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669">
      <w:bodyDiv w:val="1"/>
      <w:marLeft w:val="0"/>
      <w:marRight w:val="0"/>
      <w:marTop w:val="0"/>
      <w:marBottom w:val="0"/>
      <w:divBdr>
        <w:top w:val="none" w:sz="0" w:space="0" w:color="auto"/>
        <w:left w:val="none" w:sz="0" w:space="0" w:color="auto"/>
        <w:bottom w:val="none" w:sz="0" w:space="0" w:color="auto"/>
        <w:right w:val="none" w:sz="0" w:space="0" w:color="auto"/>
      </w:divBdr>
    </w:div>
    <w:div w:id="862287479">
      <w:bodyDiv w:val="1"/>
      <w:marLeft w:val="0"/>
      <w:marRight w:val="0"/>
      <w:marTop w:val="0"/>
      <w:marBottom w:val="0"/>
      <w:divBdr>
        <w:top w:val="none" w:sz="0" w:space="0" w:color="auto"/>
        <w:left w:val="none" w:sz="0" w:space="0" w:color="auto"/>
        <w:bottom w:val="none" w:sz="0" w:space="0" w:color="auto"/>
        <w:right w:val="none" w:sz="0" w:space="0" w:color="auto"/>
      </w:divBdr>
    </w:div>
    <w:div w:id="1705517665">
      <w:bodyDiv w:val="1"/>
      <w:marLeft w:val="0"/>
      <w:marRight w:val="0"/>
      <w:marTop w:val="0"/>
      <w:marBottom w:val="0"/>
      <w:divBdr>
        <w:top w:val="none" w:sz="0" w:space="0" w:color="auto"/>
        <w:left w:val="none" w:sz="0" w:space="0" w:color="auto"/>
        <w:bottom w:val="none" w:sz="0" w:space="0" w:color="auto"/>
        <w:right w:val="none" w:sz="0" w:space="0" w:color="auto"/>
      </w:divBdr>
    </w:div>
    <w:div w:id="213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hv.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hv@tihv.org.t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ozer@tihv.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23438-EC57-4008-AC10-25BA4E07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3048</CharactersWithSpaces>
  <SharedDoc>false</SharedDoc>
  <HLinks>
    <vt:vector size="12" baseType="variant">
      <vt:variant>
        <vt:i4>3604531</vt:i4>
      </vt:variant>
      <vt:variant>
        <vt:i4>6</vt:i4>
      </vt:variant>
      <vt:variant>
        <vt:i4>0</vt:i4>
      </vt:variant>
      <vt:variant>
        <vt:i4>5</vt:i4>
      </vt:variant>
      <vt:variant>
        <vt:lpwstr>http://www.tihv.org.tr/</vt:lpwstr>
      </vt:variant>
      <vt:variant>
        <vt:lpwstr/>
      </vt:variant>
      <vt:variant>
        <vt:i4>6094907</vt:i4>
      </vt:variant>
      <vt:variant>
        <vt:i4>3</vt:i4>
      </vt:variant>
      <vt:variant>
        <vt:i4>0</vt:i4>
      </vt:variant>
      <vt:variant>
        <vt:i4>5</vt:i4>
      </vt:variant>
      <vt:variant>
        <vt:lpwstr>mailto:tihv@tihv.org.tr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Evren</cp:lastModifiedBy>
  <cp:revision>2</cp:revision>
  <dcterms:created xsi:type="dcterms:W3CDTF">2014-04-25T08:13:00Z</dcterms:created>
  <dcterms:modified xsi:type="dcterms:W3CDTF">2014-04-25T08:13:00Z</dcterms:modified>
</cp:coreProperties>
</file>