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76" w:type="dxa"/>
        <w:jc w:val="center"/>
        <w:tblInd w:w="158" w:type="dxa"/>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00" w:firstRow="0" w:lastRow="0" w:firstColumn="0" w:lastColumn="0" w:noHBand="0" w:noVBand="0"/>
      </w:tblPr>
      <w:tblGrid>
        <w:gridCol w:w="2340"/>
        <w:gridCol w:w="6836"/>
      </w:tblGrid>
      <w:tr w:rsidR="00D9298F" w:rsidRPr="006532B9">
        <w:trPr>
          <w:trHeight w:val="2147"/>
          <w:jc w:val="center"/>
        </w:trPr>
        <w:tc>
          <w:tcPr>
            <w:tcW w:w="2340" w:type="dxa"/>
            <w:tcBorders>
              <w:right w:val="single" w:sz="4" w:space="0" w:color="auto"/>
            </w:tcBorders>
            <w:vAlign w:val="center"/>
          </w:tcPr>
          <w:p w:rsidR="00D9298F" w:rsidRPr="006532B9" w:rsidRDefault="00D9298F" w:rsidP="009D72EC">
            <w:pPr>
              <w:spacing w:after="120"/>
              <w:jc w:val="center"/>
              <w:rPr>
                <w:rFonts w:ascii="Verdana" w:hAnsi="Verdana"/>
                <w:sz w:val="20"/>
                <w:szCs w:val="20"/>
              </w:rPr>
            </w:pPr>
            <w:r w:rsidRPr="006532B9">
              <w:rPr>
                <w:rFonts w:ascii="Verdana" w:hAnsi="Verdana"/>
                <w:sz w:val="20"/>
                <w:szCs w:val="20"/>
              </w:rPr>
              <w:object w:dxaOrig="6136" w:dyaOrig="6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11.75pt" o:ole="" fillcolor="window">
                  <v:imagedata r:id="rId8" o:title=""/>
                </v:shape>
                <o:OLEObject Type="Embed" ProgID="PBrush" ShapeID="_x0000_i1025" DrawAspect="Content" ObjectID="_1461669942" r:id="rId9">
                  <o:FieldCodes>\s \* MERGEFORMAT</o:FieldCodes>
                </o:OLEObject>
              </w:object>
            </w:r>
          </w:p>
        </w:tc>
        <w:tc>
          <w:tcPr>
            <w:tcW w:w="6836" w:type="dxa"/>
            <w:tcBorders>
              <w:top w:val="single" w:sz="4" w:space="0" w:color="auto"/>
              <w:left w:val="single" w:sz="4" w:space="0" w:color="auto"/>
              <w:bottom w:val="single" w:sz="4" w:space="0" w:color="auto"/>
            </w:tcBorders>
            <w:vAlign w:val="center"/>
          </w:tcPr>
          <w:p w:rsidR="00D9298F" w:rsidRPr="006532B9" w:rsidRDefault="00D9298F" w:rsidP="009D72EC">
            <w:pPr>
              <w:pStyle w:val="Balk8"/>
              <w:spacing w:after="120"/>
              <w:jc w:val="center"/>
              <w:rPr>
                <w:rFonts w:ascii="Verdana" w:hAnsi="Verdana"/>
                <w:b/>
                <w:i w:val="0"/>
                <w:sz w:val="20"/>
                <w:szCs w:val="20"/>
                <w:lang w:val="tr-TR"/>
              </w:rPr>
            </w:pPr>
            <w:r w:rsidRPr="006532B9">
              <w:rPr>
                <w:rFonts w:ascii="Verdana" w:hAnsi="Verdana"/>
                <w:b/>
                <w:i w:val="0"/>
                <w:sz w:val="20"/>
                <w:szCs w:val="20"/>
                <w:lang w:val="tr-TR"/>
              </w:rPr>
              <w:t>TÜRKİYE İNSAN HAKLARI VAKFI</w:t>
            </w:r>
          </w:p>
          <w:p w:rsidR="00D9298F" w:rsidRPr="006532B9" w:rsidRDefault="00D9298F" w:rsidP="009D72EC">
            <w:pPr>
              <w:pStyle w:val="Balk4"/>
              <w:spacing w:after="120"/>
              <w:jc w:val="center"/>
              <w:rPr>
                <w:rFonts w:ascii="Verdana" w:hAnsi="Verdana"/>
                <w:b w:val="0"/>
                <w:spacing w:val="20"/>
                <w:sz w:val="20"/>
                <w:szCs w:val="20"/>
                <w:lang w:val="tr-TR"/>
              </w:rPr>
            </w:pPr>
            <w:r w:rsidRPr="006532B9">
              <w:rPr>
                <w:rFonts w:ascii="Verdana" w:hAnsi="Verdana"/>
                <w:b w:val="0"/>
                <w:spacing w:val="20"/>
                <w:sz w:val="20"/>
                <w:szCs w:val="20"/>
                <w:lang w:val="tr-TR"/>
              </w:rPr>
              <w:t>Human Rights Foundation of Turkey</w:t>
            </w:r>
          </w:p>
          <w:p w:rsidR="00D9298F" w:rsidRPr="006532B9" w:rsidRDefault="002D12A7" w:rsidP="009D72EC">
            <w:pPr>
              <w:spacing w:after="120"/>
              <w:jc w:val="center"/>
              <w:rPr>
                <w:rFonts w:ascii="Verdana" w:hAnsi="Verdana"/>
                <w:spacing w:val="24"/>
                <w:sz w:val="20"/>
                <w:szCs w:val="20"/>
              </w:rPr>
            </w:pPr>
            <w:r>
              <w:rPr>
                <w:rFonts w:ascii="Verdana" w:hAnsi="Verdana"/>
                <w:spacing w:val="24"/>
                <w:sz w:val="20"/>
                <w:szCs w:val="20"/>
              </w:rPr>
              <w:t>Mithatpaşa Cad. 49/11 6. Kat Kızılay</w:t>
            </w:r>
            <w:r w:rsidR="00D9298F" w:rsidRPr="006532B9">
              <w:rPr>
                <w:rFonts w:ascii="Verdana" w:hAnsi="Verdana"/>
                <w:spacing w:val="24"/>
                <w:sz w:val="20"/>
                <w:szCs w:val="20"/>
              </w:rPr>
              <w:t>/Ankara</w:t>
            </w:r>
          </w:p>
          <w:p w:rsidR="00D9298F" w:rsidRPr="006532B9" w:rsidRDefault="00D9298F" w:rsidP="009D72EC">
            <w:pPr>
              <w:spacing w:after="120"/>
              <w:jc w:val="center"/>
              <w:rPr>
                <w:rFonts w:ascii="Verdana" w:hAnsi="Verdana"/>
                <w:spacing w:val="24"/>
                <w:sz w:val="20"/>
                <w:szCs w:val="20"/>
              </w:rPr>
            </w:pPr>
            <w:r w:rsidRPr="006532B9">
              <w:rPr>
                <w:rFonts w:ascii="Verdana" w:hAnsi="Verdana"/>
                <w:spacing w:val="24"/>
                <w:sz w:val="20"/>
                <w:szCs w:val="20"/>
              </w:rPr>
              <w:t>Tel: +90 312 310 6636 Fax: +90 312 310 6463</w:t>
            </w:r>
          </w:p>
          <w:p w:rsidR="00D9298F" w:rsidRPr="006532B9" w:rsidRDefault="00D9298F" w:rsidP="009D72EC">
            <w:pPr>
              <w:spacing w:after="120"/>
              <w:jc w:val="center"/>
              <w:rPr>
                <w:rFonts w:ascii="Verdana" w:hAnsi="Verdana"/>
                <w:sz w:val="20"/>
                <w:szCs w:val="20"/>
              </w:rPr>
            </w:pPr>
            <w:r w:rsidRPr="006532B9">
              <w:rPr>
                <w:rFonts w:ascii="Verdana" w:hAnsi="Verdana"/>
                <w:spacing w:val="24"/>
                <w:sz w:val="20"/>
                <w:szCs w:val="20"/>
              </w:rPr>
              <w:t xml:space="preserve">e-mail: </w:t>
            </w:r>
            <w:hyperlink r:id="rId10" w:history="1">
              <w:r w:rsidRPr="006532B9">
                <w:rPr>
                  <w:rStyle w:val="Kpr"/>
                  <w:rFonts w:ascii="Verdana" w:hAnsi="Verdana"/>
                  <w:sz w:val="20"/>
                  <w:szCs w:val="20"/>
                </w:rPr>
                <w:t>tihv@tihv.org.tr</w:t>
              </w:r>
            </w:hyperlink>
            <w:r w:rsidRPr="006532B9">
              <w:rPr>
                <w:rFonts w:ascii="Verdana" w:hAnsi="Verdana"/>
                <w:sz w:val="20"/>
                <w:szCs w:val="20"/>
              </w:rPr>
              <w:t xml:space="preserve">         </w:t>
            </w:r>
            <w:hyperlink r:id="rId11" w:history="1">
              <w:r w:rsidRPr="006532B9">
                <w:rPr>
                  <w:rStyle w:val="Kpr"/>
                  <w:rFonts w:ascii="Verdana" w:hAnsi="Verdana"/>
                  <w:spacing w:val="24"/>
                  <w:sz w:val="20"/>
                  <w:szCs w:val="20"/>
                </w:rPr>
                <w:t>www.tihv.org.tr</w:t>
              </w:r>
            </w:hyperlink>
            <w:r w:rsidRPr="006532B9">
              <w:rPr>
                <w:rFonts w:ascii="Verdana" w:hAnsi="Verdana"/>
                <w:spacing w:val="24"/>
                <w:sz w:val="20"/>
                <w:szCs w:val="20"/>
              </w:rPr>
              <w:t xml:space="preserve"> </w:t>
            </w:r>
          </w:p>
        </w:tc>
      </w:tr>
    </w:tbl>
    <w:p w:rsidR="00D9298F" w:rsidRDefault="00D9298F" w:rsidP="00D9298F">
      <w:pPr>
        <w:rPr>
          <w:rFonts w:ascii="Verdana" w:hAnsi="Verdana"/>
          <w:sz w:val="22"/>
          <w:szCs w:val="22"/>
        </w:rPr>
      </w:pPr>
    </w:p>
    <w:p w:rsidR="00D9298F" w:rsidRDefault="00D9298F" w:rsidP="00D9298F">
      <w:pPr>
        <w:rPr>
          <w:rFonts w:ascii="Verdana" w:hAnsi="Verdana"/>
          <w:sz w:val="22"/>
          <w:szCs w:val="22"/>
        </w:rPr>
      </w:pPr>
    </w:p>
    <w:p w:rsidR="001703CA" w:rsidRDefault="001703CA" w:rsidP="001703CA">
      <w:pPr>
        <w:shd w:val="clear" w:color="auto" w:fill="FFFFFF"/>
        <w:spacing w:after="120" w:line="300" w:lineRule="atLeast"/>
        <w:ind w:firstLine="709"/>
        <w:jc w:val="both"/>
        <w:rPr>
          <w:rFonts w:ascii="Arial" w:hAnsi="Arial" w:cs="Arial"/>
          <w:color w:val="222222"/>
          <w:sz w:val="20"/>
          <w:szCs w:val="20"/>
        </w:rPr>
      </w:pPr>
      <w:r>
        <w:rPr>
          <w:rFonts w:ascii="Verdana" w:hAnsi="Verdana" w:cs="Arial"/>
          <w:b/>
          <w:bCs/>
          <w:color w:val="222222"/>
          <w:sz w:val="18"/>
          <w:szCs w:val="18"/>
        </w:rPr>
        <w:t>Türkiye İnsan Hakları Vakfı Dokümantasyon Merkezi</w:t>
      </w:r>
      <w:bookmarkStart w:id="0" w:name="145ff0f6aec1d555__ftnref1"/>
      <w:r>
        <w:rPr>
          <w:rFonts w:ascii="Verdana" w:hAnsi="Verdana" w:cs="Arial"/>
          <w:b/>
          <w:bCs/>
          <w:color w:val="222222"/>
          <w:sz w:val="18"/>
          <w:szCs w:val="18"/>
        </w:rPr>
        <w:t>[1]</w:t>
      </w:r>
      <w:bookmarkStart w:id="1" w:name="145ff0f6aec1d555__ftnref2"/>
      <w:bookmarkEnd w:id="0"/>
      <w:r>
        <w:rPr>
          <w:rFonts w:ascii="Verdana" w:hAnsi="Verdana" w:cs="Arial"/>
          <w:b/>
          <w:bCs/>
          <w:color w:val="222222"/>
          <w:sz w:val="18"/>
          <w:szCs w:val="18"/>
        </w:rPr>
        <w:t>[2]</w:t>
      </w:r>
      <w:bookmarkStart w:id="2" w:name="145ff0f6aec1d555__ftnref3"/>
      <w:bookmarkEnd w:id="1"/>
      <w:r>
        <w:rPr>
          <w:rFonts w:ascii="Verdana" w:hAnsi="Verdana" w:cs="Arial"/>
          <w:b/>
          <w:bCs/>
          <w:color w:val="222222"/>
          <w:sz w:val="18"/>
          <w:szCs w:val="18"/>
        </w:rPr>
        <w:t>[3]</w:t>
      </w:r>
      <w:bookmarkStart w:id="3" w:name="145ff0f6aec1d555__ftnref4"/>
      <w:bookmarkEnd w:id="2"/>
      <w:r>
        <w:rPr>
          <w:rFonts w:ascii="Verdana" w:hAnsi="Verdana" w:cs="Arial"/>
          <w:b/>
          <w:bCs/>
          <w:color w:val="222222"/>
          <w:sz w:val="18"/>
          <w:szCs w:val="18"/>
        </w:rPr>
        <w:t>[4]</w:t>
      </w:r>
      <w:bookmarkEnd w:id="3"/>
    </w:p>
    <w:p w:rsidR="001703CA" w:rsidRDefault="001703CA" w:rsidP="001703CA">
      <w:pPr>
        <w:shd w:val="clear" w:color="auto" w:fill="FFFFFF"/>
        <w:spacing w:after="120" w:line="300" w:lineRule="atLeast"/>
        <w:ind w:firstLine="709"/>
        <w:jc w:val="both"/>
        <w:rPr>
          <w:rFonts w:ascii="Arial" w:hAnsi="Arial" w:cs="Arial"/>
          <w:color w:val="222222"/>
          <w:sz w:val="20"/>
          <w:szCs w:val="20"/>
        </w:rPr>
      </w:pPr>
      <w:r>
        <w:rPr>
          <w:rFonts w:ascii="Verdana" w:hAnsi="Verdana" w:cs="Arial"/>
          <w:b/>
          <w:bCs/>
          <w:color w:val="222222"/>
          <w:sz w:val="18"/>
          <w:szCs w:val="18"/>
        </w:rPr>
        <w:t>15 Mayıs 2014 Günlük İnsan Hakları Raporu</w:t>
      </w:r>
    </w:p>
    <w:p w:rsidR="001703CA" w:rsidRDefault="001703CA" w:rsidP="001703CA">
      <w:pPr>
        <w:shd w:val="clear" w:color="auto" w:fill="FFFFFF"/>
        <w:spacing w:after="120" w:line="300" w:lineRule="atLeast"/>
        <w:ind w:firstLine="709"/>
        <w:jc w:val="both"/>
        <w:rPr>
          <w:rFonts w:ascii="Arial" w:hAnsi="Arial" w:cs="Arial"/>
          <w:color w:val="222222"/>
          <w:sz w:val="20"/>
          <w:szCs w:val="20"/>
        </w:rPr>
      </w:pPr>
      <w:r>
        <w:rPr>
          <w:rFonts w:ascii="Verdana" w:hAnsi="Verdana" w:cs="Arial"/>
          <w:b/>
          <w:bCs/>
          <w:color w:val="222222"/>
          <w:sz w:val="18"/>
          <w:szCs w:val="18"/>
        </w:rPr>
        <w:t>(05/082) Soma’daki İşçi Katliamını Protesto Gösterilerine Saldırılar…</w:t>
      </w:r>
    </w:p>
    <w:p w:rsidR="001703CA" w:rsidRDefault="001703CA" w:rsidP="001703CA">
      <w:pPr>
        <w:shd w:val="clear" w:color="auto" w:fill="FFFFFF"/>
        <w:spacing w:after="120" w:line="300" w:lineRule="atLeast"/>
        <w:ind w:firstLine="709"/>
        <w:jc w:val="both"/>
        <w:rPr>
          <w:rFonts w:ascii="Arial" w:hAnsi="Arial" w:cs="Arial"/>
          <w:color w:val="222222"/>
          <w:sz w:val="20"/>
          <w:szCs w:val="20"/>
        </w:rPr>
      </w:pPr>
      <w:r>
        <w:rPr>
          <w:rFonts w:ascii="Verdana" w:hAnsi="Verdana" w:cs="Arial"/>
          <w:color w:val="222222"/>
          <w:sz w:val="18"/>
          <w:szCs w:val="18"/>
        </w:rPr>
        <w:t>Manisa’nın Soma İlçesi’nde ilgili bakanlıkların yetersiz denetimlerinin de etkisiyle Soma Holding’e ait kömür madeni ocağında vardiya değişimi sırasında elektrik trafosundan kaynaklandığı iddia edilen patlama sonucu enkazdan ölüm haberleri gelmeye devam ediyor. Kayıtdışı çalıştırılan işçilerin de bulunduğu ileri sürülen ve hala kaç işçinin patlama anında madende bulunduğuna dair açıklama yapmayan Enerji ve Tabii Kaynaklar Bakanı 15 Mayıs 2014 sabahı itibariyle 282 işçinin cansız bedenine ulaşıldığını açıkladı.</w:t>
      </w:r>
    </w:p>
    <w:p w:rsidR="001703CA" w:rsidRDefault="001703CA" w:rsidP="001703CA">
      <w:pPr>
        <w:shd w:val="clear" w:color="auto" w:fill="FFFFFF"/>
        <w:spacing w:after="120" w:line="300" w:lineRule="atLeast"/>
        <w:ind w:firstLine="709"/>
        <w:jc w:val="both"/>
        <w:rPr>
          <w:rFonts w:ascii="Arial" w:hAnsi="Arial" w:cs="Arial"/>
          <w:color w:val="222222"/>
          <w:sz w:val="20"/>
          <w:szCs w:val="20"/>
        </w:rPr>
      </w:pPr>
      <w:r>
        <w:rPr>
          <w:rFonts w:ascii="Verdana" w:hAnsi="Verdana" w:cs="Arial"/>
          <w:color w:val="222222"/>
          <w:sz w:val="18"/>
          <w:szCs w:val="18"/>
        </w:rPr>
        <w:t>Başbakan Recep Tayyip Erdoğan’ın “bunlar olağan durumlar, bu mesleğin fıtratında ölüm var” açıklamasıyla incelemelerde bulunduğu madenin yetkilerine dair henüz adlî bir işlem yapılmadığı açıklandı. İncelemeler esnasında ise Başbakan’ı bağırarak protesto eden bir kişi korumalar tarafından darp edilrek gözaltına aldı. Bu duruma tepki gösteren bir kişinin de yine korumalar tarafından darp edilmesi üzerine çevrede bulunan halk Başbakan’ı ve korumaları protesto etti. Kalabalığın arasında kalan Başbakan’ın bir markete sığınmak zorunda kaldığı öğrenildi. Bu esnada Başbakanlık Müşaviri Yusuf Yerkel’in gözaltına alınan Somalı birine defalarca tekme attığı anlar fotoğraflarla kayıt altına alındı.</w:t>
      </w:r>
    </w:p>
    <w:p w:rsidR="001703CA" w:rsidRDefault="001703CA" w:rsidP="001703CA">
      <w:pPr>
        <w:shd w:val="clear" w:color="auto" w:fill="FFFFFF"/>
        <w:spacing w:after="120" w:line="300" w:lineRule="atLeast"/>
        <w:ind w:firstLine="709"/>
        <w:jc w:val="both"/>
        <w:rPr>
          <w:rFonts w:ascii="Arial" w:hAnsi="Arial" w:cs="Arial"/>
          <w:color w:val="222222"/>
          <w:sz w:val="20"/>
          <w:szCs w:val="20"/>
        </w:rPr>
      </w:pPr>
      <w:r>
        <w:rPr>
          <w:rFonts w:ascii="Verdana" w:hAnsi="Verdana" w:cs="Arial"/>
          <w:color w:val="222222"/>
          <w:sz w:val="18"/>
          <w:szCs w:val="18"/>
        </w:rPr>
        <w:t>Öte yandan Soma’daki katliamı protesto etmek için çeşitli kentlerde protesto eylemleri düzenlendi. Ankara, İstanbul, İzmir, Tunceli, Artvin, Kocaeli, Aydın, Adana gibi şehirlerdeki eylemlere müsamaha göstermeyen polis eylemcilere gaz bombaları, basınçlı su ve plastik mermilerle çok sert şekilde saldırdı. Saldırılar nedeniyle Ankara, Kocaeli ve İstanbul’da 11 kişi yaralanırken, polisin eylemlere saldırdığı kentlerde toplam 62 kişi gözaltına alındı. Adana’da ise yola Soma’yla ilgili yazı yazan Ezilenlerin Sosyalist Partisi’ne Büyükşehir Belediyesi’nin 762 TL para cezası verdiği açıklandı.</w:t>
      </w:r>
    </w:p>
    <w:p w:rsidR="001703CA" w:rsidRDefault="001703CA" w:rsidP="001703CA">
      <w:pPr>
        <w:shd w:val="clear" w:color="auto" w:fill="FFFFFF"/>
        <w:spacing w:after="120" w:line="300" w:lineRule="atLeast"/>
        <w:ind w:firstLine="709"/>
        <w:jc w:val="both"/>
        <w:rPr>
          <w:rFonts w:ascii="Arial" w:hAnsi="Arial" w:cs="Arial"/>
          <w:color w:val="222222"/>
          <w:sz w:val="20"/>
          <w:szCs w:val="20"/>
        </w:rPr>
      </w:pPr>
      <w:r>
        <w:rPr>
          <w:rFonts w:ascii="Verdana" w:hAnsi="Verdana" w:cs="Arial"/>
          <w:b/>
          <w:bCs/>
          <w:color w:val="222222"/>
          <w:sz w:val="18"/>
          <w:szCs w:val="18"/>
        </w:rPr>
        <w:t>(05/083) Cezaevinde Ölüm…</w:t>
      </w:r>
    </w:p>
    <w:p w:rsidR="001703CA" w:rsidRDefault="001703CA" w:rsidP="001703CA">
      <w:pPr>
        <w:shd w:val="clear" w:color="auto" w:fill="FFFFFF"/>
        <w:spacing w:after="120" w:line="300" w:lineRule="atLeast"/>
        <w:ind w:firstLine="709"/>
        <w:jc w:val="both"/>
        <w:rPr>
          <w:rFonts w:ascii="Arial" w:hAnsi="Arial" w:cs="Arial"/>
          <w:color w:val="222222"/>
          <w:sz w:val="20"/>
          <w:szCs w:val="20"/>
        </w:rPr>
      </w:pPr>
      <w:r>
        <w:rPr>
          <w:rFonts w:ascii="Verdana" w:hAnsi="Verdana" w:cs="Arial"/>
          <w:color w:val="222222"/>
          <w:sz w:val="18"/>
          <w:szCs w:val="18"/>
        </w:rPr>
        <w:lastRenderedPageBreak/>
        <w:t>“Cinayet” suçundan Şakran (İzmir) Kadın Cezaevi’nde tutulan Yeter Ateş’in kaldığı koğuşta kendini asarak intihar ettiği 14 Mayıs 2014’te öğrenildi.</w:t>
      </w:r>
    </w:p>
    <w:p w:rsidR="001703CA" w:rsidRDefault="001703CA" w:rsidP="001703CA">
      <w:pPr>
        <w:shd w:val="clear" w:color="auto" w:fill="FFFFFF"/>
        <w:spacing w:after="120" w:line="300" w:lineRule="atLeast"/>
        <w:ind w:firstLine="709"/>
        <w:jc w:val="both"/>
        <w:rPr>
          <w:rFonts w:ascii="Arial" w:hAnsi="Arial" w:cs="Arial"/>
          <w:color w:val="222222"/>
          <w:sz w:val="20"/>
          <w:szCs w:val="20"/>
        </w:rPr>
      </w:pPr>
      <w:r>
        <w:rPr>
          <w:rFonts w:ascii="Verdana" w:hAnsi="Verdana" w:cs="Arial"/>
          <w:b/>
          <w:bCs/>
          <w:color w:val="222222"/>
          <w:sz w:val="18"/>
          <w:szCs w:val="18"/>
        </w:rPr>
        <w:t>(05/084) Alıkonan Kişiler…</w:t>
      </w:r>
    </w:p>
    <w:p w:rsidR="001703CA" w:rsidRDefault="001703CA" w:rsidP="001703CA">
      <w:pPr>
        <w:shd w:val="clear" w:color="auto" w:fill="FFFFFF"/>
        <w:spacing w:after="120" w:line="300" w:lineRule="atLeast"/>
        <w:ind w:firstLine="709"/>
        <w:jc w:val="both"/>
        <w:rPr>
          <w:rFonts w:ascii="Arial" w:hAnsi="Arial" w:cs="Arial"/>
          <w:color w:val="222222"/>
          <w:sz w:val="20"/>
          <w:szCs w:val="20"/>
        </w:rPr>
      </w:pPr>
      <w:r>
        <w:rPr>
          <w:rFonts w:ascii="Verdana" w:hAnsi="Verdana" w:cs="Arial"/>
          <w:color w:val="222222"/>
          <w:sz w:val="18"/>
          <w:szCs w:val="18"/>
        </w:rPr>
        <w:t>Şırnak’ın devlet tarafından zorla boşaltılmış Görmeç Köyü’nün yakınlarındaki askeri üs bölgesine ait yol inşaatında çalışan 9 işçinin 14 Mayıs 2014’te PKK militanlarınca alıkonduğu ileri sürüldü.</w:t>
      </w:r>
    </w:p>
    <w:p w:rsidR="001703CA" w:rsidRDefault="001703CA" w:rsidP="001703CA">
      <w:pPr>
        <w:shd w:val="clear" w:color="auto" w:fill="FFFFFF"/>
        <w:spacing w:after="120" w:line="300" w:lineRule="atLeast"/>
        <w:ind w:firstLine="709"/>
        <w:jc w:val="both"/>
        <w:rPr>
          <w:rFonts w:ascii="Arial" w:hAnsi="Arial" w:cs="Arial"/>
          <w:color w:val="222222"/>
          <w:sz w:val="20"/>
          <w:szCs w:val="20"/>
        </w:rPr>
      </w:pPr>
      <w:r>
        <w:rPr>
          <w:rFonts w:ascii="Verdana" w:hAnsi="Verdana" w:cs="Arial"/>
          <w:b/>
          <w:bCs/>
          <w:color w:val="222222"/>
          <w:sz w:val="18"/>
          <w:szCs w:val="18"/>
        </w:rPr>
        <w:t>(05/085) Batman’da Devam Eden KCK Davası…</w:t>
      </w:r>
    </w:p>
    <w:p w:rsidR="001703CA" w:rsidRDefault="001703CA" w:rsidP="001703CA">
      <w:pPr>
        <w:shd w:val="clear" w:color="auto" w:fill="FFFFFF"/>
        <w:spacing w:after="120" w:line="300" w:lineRule="atLeast"/>
        <w:ind w:firstLine="709"/>
        <w:jc w:val="both"/>
        <w:rPr>
          <w:rFonts w:ascii="Arial" w:hAnsi="Arial" w:cs="Arial"/>
          <w:color w:val="222222"/>
          <w:sz w:val="20"/>
          <w:szCs w:val="20"/>
        </w:rPr>
      </w:pPr>
      <w:r>
        <w:rPr>
          <w:rFonts w:ascii="Verdana" w:hAnsi="Verdana" w:cs="Arial"/>
          <w:color w:val="222222"/>
          <w:sz w:val="18"/>
          <w:szCs w:val="18"/>
        </w:rPr>
        <w:t>Batman’da 8 Aralık 2012’de “KCK Soruşturması” adı altında düzenlenen operasyonun ardından haklarında dava açılan 8’i tutuklu 38 kişinin yargılanmasına 14 Mayıs 2014’te devam edildi.</w:t>
      </w:r>
    </w:p>
    <w:p w:rsidR="001703CA" w:rsidRDefault="001703CA" w:rsidP="001703CA">
      <w:pPr>
        <w:shd w:val="clear" w:color="auto" w:fill="FFFFFF"/>
        <w:spacing w:after="120" w:line="300" w:lineRule="atLeast"/>
        <w:ind w:firstLine="709"/>
        <w:jc w:val="both"/>
        <w:rPr>
          <w:rFonts w:ascii="Arial" w:hAnsi="Arial" w:cs="Arial"/>
          <w:color w:val="222222"/>
          <w:sz w:val="20"/>
          <w:szCs w:val="20"/>
        </w:rPr>
      </w:pPr>
      <w:r>
        <w:rPr>
          <w:rFonts w:ascii="Verdana" w:hAnsi="Verdana" w:cs="Arial"/>
          <w:color w:val="222222"/>
          <w:sz w:val="18"/>
          <w:szCs w:val="18"/>
        </w:rPr>
        <w:t>Batman Ağır Ceza Mahkemesi’ndeki duruşmada “yasadışı örgüt üyesi olmak”la suçlanan sanıklar hakkındaki delilleri okuyan mahkeme heyeti, tutuklu sanıkların tamamının tahliye edilmesine karar vererek duruşmayı erteledi.</w:t>
      </w:r>
    </w:p>
    <w:p w:rsidR="001703CA" w:rsidRDefault="001703CA" w:rsidP="001703CA">
      <w:pPr>
        <w:shd w:val="clear" w:color="auto" w:fill="FFFFFF"/>
        <w:rPr>
          <w:rFonts w:ascii="Arial" w:hAnsi="Arial" w:cs="Arial"/>
          <w:color w:val="222222"/>
          <w:sz w:val="20"/>
          <w:szCs w:val="20"/>
        </w:rPr>
      </w:pPr>
      <w:r>
        <w:rPr>
          <w:rFonts w:ascii="Arial" w:hAnsi="Arial" w:cs="Arial"/>
          <w:color w:val="222222"/>
          <w:sz w:val="20"/>
          <w:szCs w:val="20"/>
        </w:rPr>
        <w:br w:type="textWrapping" w:clear="all"/>
      </w:r>
    </w:p>
    <w:p w:rsidR="001703CA" w:rsidRDefault="001703CA" w:rsidP="001703CA">
      <w:pPr>
        <w:shd w:val="clear" w:color="auto" w:fill="FFFFFF"/>
        <w:rPr>
          <w:rFonts w:ascii="Arial" w:hAnsi="Arial" w:cs="Arial"/>
          <w:color w:val="222222"/>
          <w:sz w:val="20"/>
          <w:szCs w:val="20"/>
        </w:rPr>
      </w:pPr>
      <w:r>
        <w:rPr>
          <w:rFonts w:ascii="Arial" w:hAnsi="Arial" w:cs="Arial"/>
          <w:color w:val="222222"/>
          <w:sz w:val="20"/>
          <w:szCs w:val="20"/>
        </w:rPr>
        <w:pict>
          <v:rect id="_x0000_i1026" style="width:149.7pt;height:.75pt" o:hrpct="330" o:hrstd="t" o:hr="t" fillcolor="#a0a0a0" stroked="f"/>
        </w:pict>
      </w:r>
    </w:p>
    <w:p w:rsidR="001703CA" w:rsidRDefault="001703CA" w:rsidP="001703CA">
      <w:pPr>
        <w:pStyle w:val="NormalWeb"/>
        <w:shd w:val="clear" w:color="auto" w:fill="FFFFFF"/>
        <w:rPr>
          <w:color w:val="222222"/>
          <w:sz w:val="20"/>
          <w:szCs w:val="20"/>
        </w:rPr>
      </w:pPr>
      <w:bookmarkStart w:id="4" w:name="145ff0f6aec1d555__ftn1"/>
      <w:r>
        <w:rPr>
          <w:color w:val="222222"/>
          <w:sz w:val="20"/>
          <w:szCs w:val="20"/>
        </w:rPr>
        <w:t>[1]</w:t>
      </w:r>
      <w:bookmarkEnd w:id="4"/>
      <w:r>
        <w:rPr>
          <w:rStyle w:val="apple-converted-space"/>
          <w:color w:val="222222"/>
          <w:sz w:val="20"/>
          <w:szCs w:val="20"/>
        </w:rPr>
        <w:t> </w:t>
      </w:r>
      <w:r>
        <w:rPr>
          <w:color w:val="222222"/>
          <w:sz w:val="20"/>
          <w:szCs w:val="20"/>
        </w:rPr>
        <w:t>Dokümantasyon Merkezi’nin hak ihlali raporu kesinleşmediği ölçüde iddiadır, ihlal iddiası yargı kararları dahil olmak üzere Dokümantasyon Merkezi’nin derinlikli araştırmaları sonucu ya kesinleşerek veri olur veya hak ihlali bilânçosundan çıkarılır.</w:t>
      </w:r>
    </w:p>
    <w:p w:rsidR="001703CA" w:rsidRDefault="001703CA" w:rsidP="001703CA">
      <w:pPr>
        <w:pStyle w:val="NormalWeb"/>
        <w:shd w:val="clear" w:color="auto" w:fill="FFFFFF"/>
        <w:rPr>
          <w:color w:val="222222"/>
          <w:sz w:val="20"/>
          <w:szCs w:val="20"/>
        </w:rPr>
      </w:pPr>
      <w:bookmarkStart w:id="5" w:name="145ff0f6aec1d555__ftn2"/>
      <w:r>
        <w:rPr>
          <w:color w:val="222222"/>
          <w:sz w:val="20"/>
          <w:szCs w:val="20"/>
        </w:rPr>
        <w:t>[2]</w:t>
      </w:r>
      <w:bookmarkEnd w:id="5"/>
      <w:r>
        <w:rPr>
          <w:rStyle w:val="apple-converted-space"/>
          <w:color w:val="222222"/>
          <w:sz w:val="20"/>
          <w:szCs w:val="20"/>
        </w:rPr>
        <w:t> </w:t>
      </w:r>
      <w:r>
        <w:rPr>
          <w:color w:val="222222"/>
          <w:sz w:val="20"/>
          <w:szCs w:val="20"/>
        </w:rPr>
        <w:t>E-posta grubuna üye olmak için:</w:t>
      </w:r>
      <w:r>
        <w:rPr>
          <w:rStyle w:val="apple-converted-space"/>
          <w:color w:val="222222"/>
          <w:sz w:val="20"/>
          <w:szCs w:val="20"/>
        </w:rPr>
        <w:t> </w:t>
      </w:r>
      <w:hyperlink r:id="rId12" w:tgtFrame="_blank" w:history="1">
        <w:r>
          <w:rPr>
            <w:rStyle w:val="Kpr"/>
            <w:color w:val="1155CC"/>
            <w:sz w:val="20"/>
            <w:szCs w:val="20"/>
          </w:rPr>
          <w:t>eozer@tihv.org.tr</w:t>
        </w:r>
      </w:hyperlink>
      <w:r>
        <w:rPr>
          <w:rStyle w:val="apple-converted-space"/>
          <w:color w:val="222222"/>
          <w:sz w:val="20"/>
          <w:szCs w:val="20"/>
        </w:rPr>
        <w:t> </w:t>
      </w:r>
      <w:r>
        <w:rPr>
          <w:color w:val="222222"/>
          <w:sz w:val="20"/>
          <w:szCs w:val="20"/>
        </w:rPr>
        <w:t>adresine konu başlığına “günlük insan hakları raporu üyelik talebi” yazarak boş e-posta atınız.</w:t>
      </w:r>
    </w:p>
    <w:p w:rsidR="001703CA" w:rsidRDefault="001703CA" w:rsidP="001703CA">
      <w:pPr>
        <w:pStyle w:val="NormalWeb"/>
        <w:shd w:val="clear" w:color="auto" w:fill="FFFFFF"/>
        <w:rPr>
          <w:color w:val="222222"/>
          <w:sz w:val="20"/>
          <w:szCs w:val="20"/>
        </w:rPr>
      </w:pPr>
      <w:bookmarkStart w:id="6" w:name="145ff0f6aec1d555__ftn3"/>
      <w:r>
        <w:rPr>
          <w:color w:val="222222"/>
          <w:sz w:val="20"/>
          <w:szCs w:val="20"/>
        </w:rPr>
        <w:t>[3]</w:t>
      </w:r>
      <w:bookmarkEnd w:id="6"/>
      <w:r>
        <w:rPr>
          <w:rStyle w:val="apple-converted-space"/>
          <w:color w:val="222222"/>
          <w:sz w:val="20"/>
          <w:szCs w:val="20"/>
        </w:rPr>
        <w:t> </w:t>
      </w:r>
      <w:hyperlink r:id="rId13" w:tgtFrame="_blank" w:history="1">
        <w:r>
          <w:rPr>
            <w:rStyle w:val="Kpr"/>
            <w:color w:val="1155CC"/>
            <w:sz w:val="20"/>
            <w:szCs w:val="20"/>
          </w:rPr>
          <w:t>https://www.facebook.com/TIHV.HRFT</w:t>
        </w:r>
      </w:hyperlink>
    </w:p>
    <w:p w:rsidR="001703CA" w:rsidRDefault="001703CA" w:rsidP="001703CA">
      <w:pPr>
        <w:pStyle w:val="NormalWeb"/>
        <w:shd w:val="clear" w:color="auto" w:fill="FFFFFF"/>
        <w:rPr>
          <w:color w:val="222222"/>
          <w:sz w:val="20"/>
          <w:szCs w:val="20"/>
        </w:rPr>
      </w:pPr>
      <w:bookmarkStart w:id="7" w:name="145ff0f6aec1d555__ftn4"/>
      <w:r>
        <w:rPr>
          <w:color w:val="222222"/>
          <w:sz w:val="20"/>
          <w:szCs w:val="20"/>
        </w:rPr>
        <w:t>[4]</w:t>
      </w:r>
      <w:bookmarkEnd w:id="7"/>
      <w:r>
        <w:rPr>
          <w:rStyle w:val="apple-converted-space"/>
          <w:color w:val="222222"/>
          <w:sz w:val="20"/>
          <w:szCs w:val="20"/>
        </w:rPr>
        <w:t> </w:t>
      </w:r>
      <w:hyperlink r:id="rId14" w:tgtFrame="_blank" w:history="1">
        <w:r>
          <w:rPr>
            <w:rStyle w:val="Kpr"/>
            <w:color w:val="1155CC"/>
            <w:sz w:val="20"/>
            <w:szCs w:val="20"/>
          </w:rPr>
          <w:t>https://twitter.com/insanhaklari</w:t>
        </w:r>
      </w:hyperlink>
    </w:p>
    <w:p w:rsidR="004C1C32" w:rsidRPr="004C1C32" w:rsidRDefault="004C1C32" w:rsidP="004C1C32">
      <w:pPr>
        <w:shd w:val="clear" w:color="auto" w:fill="FFFFFF"/>
        <w:spacing w:after="120" w:line="300" w:lineRule="atLeast"/>
        <w:jc w:val="both"/>
        <w:rPr>
          <w:rFonts w:ascii="Verdana" w:hAnsi="Verdana"/>
          <w:color w:val="333333"/>
          <w:sz w:val="20"/>
          <w:szCs w:val="20"/>
        </w:rPr>
      </w:pPr>
      <w:bookmarkStart w:id="8" w:name="_GoBack"/>
      <w:bookmarkEnd w:id="8"/>
    </w:p>
    <w:p w:rsidR="00384985" w:rsidRPr="00AE028E" w:rsidRDefault="00384985" w:rsidP="00384985">
      <w:pPr>
        <w:spacing w:after="120" w:line="300" w:lineRule="atLeast"/>
        <w:ind w:firstLine="709"/>
        <w:jc w:val="both"/>
        <w:rPr>
          <w:rFonts w:ascii="Verdana" w:hAnsi="Verdana"/>
          <w:sz w:val="18"/>
          <w:szCs w:val="18"/>
        </w:rPr>
      </w:pPr>
    </w:p>
    <w:p w:rsidR="00384985" w:rsidRPr="00734455" w:rsidRDefault="00384985" w:rsidP="00384985">
      <w:pPr>
        <w:spacing w:after="120" w:line="300" w:lineRule="atLeast"/>
        <w:ind w:firstLine="709"/>
        <w:jc w:val="both"/>
        <w:rPr>
          <w:rFonts w:ascii="Verdana" w:hAnsi="Verdana"/>
          <w:sz w:val="18"/>
          <w:szCs w:val="18"/>
        </w:rPr>
      </w:pPr>
    </w:p>
    <w:p w:rsidR="00384985" w:rsidRDefault="00384985" w:rsidP="00E4616B">
      <w:pPr>
        <w:autoSpaceDE w:val="0"/>
        <w:autoSpaceDN w:val="0"/>
        <w:adjustRightInd w:val="0"/>
        <w:spacing w:after="120" w:line="300" w:lineRule="atLeast"/>
        <w:ind w:firstLine="709"/>
        <w:jc w:val="both"/>
        <w:rPr>
          <w:rFonts w:ascii="Verdana" w:hAnsi="Verdana" w:cs="Tahoma"/>
          <w:b/>
          <w:sz w:val="18"/>
          <w:szCs w:val="18"/>
        </w:rPr>
      </w:pPr>
    </w:p>
    <w:sectPr w:rsidR="00384985">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8CA" w:rsidRDefault="006928CA">
      <w:r>
        <w:separator/>
      </w:r>
    </w:p>
  </w:endnote>
  <w:endnote w:type="continuationSeparator" w:id="0">
    <w:p w:rsidR="006928CA" w:rsidRDefault="00692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79A" w:rsidRDefault="00D1779A" w:rsidP="002D33A9">
    <w:pPr>
      <w:spacing w:after="120" w:line="300" w:lineRule="atLeast"/>
      <w:jc w:val="both"/>
      <w:rPr>
        <w:rFonts w:ascii="Trebuchet MS" w:hAnsi="Trebuchet MS"/>
        <w:sz w:val="16"/>
        <w:szCs w:val="16"/>
      </w:rPr>
    </w:pPr>
    <w:r>
      <w:rPr>
        <w:rFonts w:ascii="Trebuchet MS" w:hAnsi="Trebuchet MS"/>
        <w:sz w:val="16"/>
        <w:szCs w:val="16"/>
      </w:rPr>
      <w:t>Genel Kaynak ve Bilgi Notu:</w:t>
    </w:r>
  </w:p>
  <w:p w:rsidR="002D33A9" w:rsidRPr="00551792" w:rsidRDefault="002D33A9" w:rsidP="002D33A9">
    <w:pPr>
      <w:spacing w:after="120" w:line="300" w:lineRule="atLeast"/>
      <w:jc w:val="both"/>
      <w:rPr>
        <w:rFonts w:ascii="Trebuchet MS" w:hAnsi="Trebuchet MS"/>
        <w:sz w:val="16"/>
        <w:szCs w:val="16"/>
      </w:rPr>
    </w:pPr>
    <w:r w:rsidRPr="00551792">
      <w:rPr>
        <w:rFonts w:ascii="Trebuchet MS" w:hAnsi="Trebuchet MS"/>
        <w:sz w:val="16"/>
        <w:szCs w:val="16"/>
      </w:rPr>
      <w:t>Günlük İnsan Hakları Raporu,</w:t>
    </w:r>
  </w:p>
  <w:p w:rsidR="002D33A9" w:rsidRPr="00551792" w:rsidRDefault="002D33A9" w:rsidP="002D33A9">
    <w:pPr>
      <w:spacing w:after="120" w:line="300" w:lineRule="atLeast"/>
      <w:jc w:val="both"/>
      <w:rPr>
        <w:rFonts w:ascii="Trebuchet MS" w:hAnsi="Trebuchet MS"/>
        <w:sz w:val="16"/>
        <w:szCs w:val="16"/>
      </w:rPr>
    </w:pPr>
    <w:r w:rsidRPr="00551792">
      <w:rPr>
        <w:rFonts w:ascii="Trebuchet MS" w:hAnsi="Trebuchet MS"/>
        <w:sz w:val="16"/>
        <w:szCs w:val="16"/>
      </w:rPr>
      <w:t xml:space="preserve">Dokümantasyon Merkezi’nin her gün taradığı aşağıdaki gazete, haber ajansı ve internet sitesi haberlerinden </w:t>
    </w:r>
    <w:r>
      <w:rPr>
        <w:rFonts w:ascii="Trebuchet MS" w:hAnsi="Trebuchet MS"/>
        <w:sz w:val="16"/>
        <w:szCs w:val="16"/>
      </w:rPr>
      <w:t xml:space="preserve">ve TİHV’nin ilişki ağından edindiği bilgilerden yararlanılarak hazırlanmaktadır: </w:t>
    </w:r>
    <w:r w:rsidRPr="00551792">
      <w:rPr>
        <w:rFonts w:ascii="Trebuchet MS" w:hAnsi="Trebuchet MS"/>
        <w:sz w:val="16"/>
        <w:szCs w:val="16"/>
      </w:rPr>
      <w:t xml:space="preserve">Akşam, Zaman, Yeni Şafak, Vatan, Star, Sabah, Radikal, Milliyet, Hürriyet, Evrensel, Birgün, Cumhuriyet, Vakit, Fırat Haber Ajansı, </w:t>
    </w:r>
    <w:r w:rsidR="00794998">
      <w:rPr>
        <w:rFonts w:ascii="Trebuchet MS" w:hAnsi="Trebuchet MS"/>
        <w:sz w:val="16"/>
        <w:szCs w:val="16"/>
      </w:rPr>
      <w:t>ETHA, DİHA</w:t>
    </w:r>
    <w:r w:rsidRPr="00551792">
      <w:rPr>
        <w:rFonts w:ascii="Trebuchet MS" w:hAnsi="Trebuchet MS"/>
        <w:sz w:val="16"/>
        <w:szCs w:val="16"/>
      </w:rPr>
      <w:t xml:space="preserve">, </w:t>
    </w:r>
    <w:r w:rsidR="00D1779A">
      <w:rPr>
        <w:rFonts w:ascii="Trebuchet MS" w:hAnsi="Trebuchet MS"/>
        <w:sz w:val="16"/>
        <w:szCs w:val="16"/>
      </w:rPr>
      <w:t xml:space="preserve">Yurt, </w:t>
    </w:r>
    <w:r w:rsidRPr="00551792">
      <w:rPr>
        <w:rFonts w:ascii="Trebuchet MS" w:hAnsi="Trebuchet MS"/>
        <w:sz w:val="16"/>
        <w:szCs w:val="16"/>
      </w:rPr>
      <w:t xml:space="preserve">Gündem, Ntvmsnbc.com, Bianet.org, İndymedia.org, Sesonline.net, Gazetem.net, Haber7.com, Yeni Özgür Politika, </w:t>
    </w:r>
    <w:r w:rsidR="00794998">
      <w:rPr>
        <w:rFonts w:ascii="Trebuchet MS" w:hAnsi="Trebuchet MS"/>
        <w:sz w:val="16"/>
        <w:szCs w:val="16"/>
      </w:rPr>
      <w:t>Türkiye, Bugün</w:t>
    </w:r>
    <w:r w:rsidRPr="00551792">
      <w:rPr>
        <w:rFonts w:ascii="Trebuchet MS" w:hAnsi="Trebuchet MS"/>
        <w:sz w:val="16"/>
        <w:szCs w:val="16"/>
      </w:rPr>
      <w:t>, Halkinsesi.tv, Cnnturk, Alinteri, Kızılbayrak, Taraf</w:t>
    </w:r>
    <w:r w:rsidR="00D9298F">
      <w:rPr>
        <w:rFonts w:ascii="Trebuchet MS" w:hAnsi="Trebuchet MS"/>
        <w:sz w:val="16"/>
        <w:szCs w:val="16"/>
      </w:rPr>
      <w:t>, Habertürk, Özgür Radyo</w:t>
    </w:r>
    <w:r w:rsidRPr="00551792">
      <w:rPr>
        <w:rFonts w:ascii="Trebuchet MS" w:hAnsi="Trebuchet MS"/>
        <w:sz w:val="16"/>
        <w:szCs w:val="16"/>
      </w:rPr>
      <w:t>.</w:t>
    </w:r>
  </w:p>
  <w:p w:rsidR="002D33A9" w:rsidRDefault="00726509" w:rsidP="002D33A9">
    <w:pPr>
      <w:spacing w:after="120" w:line="300" w:lineRule="atLeast"/>
      <w:jc w:val="both"/>
      <w:rPr>
        <w:rFonts w:ascii="Trebuchet MS" w:hAnsi="Trebuchet MS"/>
        <w:sz w:val="16"/>
        <w:szCs w:val="16"/>
      </w:rPr>
    </w:pPr>
    <w:r>
      <w:rPr>
        <w:rFonts w:ascii="Trebuchet MS" w:hAnsi="Trebuchet MS"/>
        <w:sz w:val="16"/>
        <w:szCs w:val="16"/>
      </w:rPr>
      <w:t>Evren Özer</w:t>
    </w:r>
  </w:p>
  <w:p w:rsidR="00FC77E5" w:rsidRPr="002D33A9" w:rsidRDefault="00FC77E5" w:rsidP="002D33A9">
    <w:pPr>
      <w:pStyle w:val="Altbilgi"/>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8CA" w:rsidRDefault="006928CA">
      <w:r>
        <w:separator/>
      </w:r>
    </w:p>
  </w:footnote>
  <w:footnote w:type="continuationSeparator" w:id="0">
    <w:p w:rsidR="006928CA" w:rsidRDefault="00692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658" w:rsidRDefault="00CB4658" w:rsidP="00CB4658">
    <w:pPr>
      <w:pStyle w:val="stbilgi"/>
      <w:pBdr>
        <w:bottom w:val="single" w:sz="4" w:space="1" w:color="D9D9D9"/>
      </w:pBdr>
      <w:jc w:val="right"/>
      <w:rPr>
        <w:b/>
        <w:bCs/>
      </w:rPr>
    </w:pPr>
    <w:r w:rsidRPr="00CB4658">
      <w:rPr>
        <w:color w:val="808080"/>
        <w:spacing w:val="60"/>
      </w:rPr>
      <w:t>Sayfa</w:t>
    </w:r>
    <w:r>
      <w:t xml:space="preserve"> | </w:t>
    </w:r>
    <w:r>
      <w:fldChar w:fldCharType="begin"/>
    </w:r>
    <w:r>
      <w:instrText>PAGE   \* MERGEFORMAT</w:instrText>
    </w:r>
    <w:r>
      <w:fldChar w:fldCharType="separate"/>
    </w:r>
    <w:r w:rsidR="001703CA" w:rsidRPr="001703CA">
      <w:rPr>
        <w:b/>
        <w:bCs/>
        <w:noProof/>
      </w:rPr>
      <w:t>2</w:t>
    </w:r>
    <w:r>
      <w:rPr>
        <w:b/>
        <w:bCs/>
      </w:rPr>
      <w:fldChar w:fldCharType="end"/>
    </w:r>
  </w:p>
  <w:p w:rsidR="00CB4658" w:rsidRDefault="00CB465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7E5"/>
    <w:rsid w:val="00021CD0"/>
    <w:rsid w:val="00025F22"/>
    <w:rsid w:val="00082BD9"/>
    <w:rsid w:val="000A2F7E"/>
    <w:rsid w:val="000C75EB"/>
    <w:rsid w:val="00167BD7"/>
    <w:rsid w:val="001703CA"/>
    <w:rsid w:val="00176682"/>
    <w:rsid w:val="001C5C18"/>
    <w:rsid w:val="001E71B4"/>
    <w:rsid w:val="002D12A7"/>
    <w:rsid w:val="002D1CEF"/>
    <w:rsid w:val="002D33A9"/>
    <w:rsid w:val="002F4832"/>
    <w:rsid w:val="003149A1"/>
    <w:rsid w:val="003308C9"/>
    <w:rsid w:val="00384985"/>
    <w:rsid w:val="00417C6E"/>
    <w:rsid w:val="00425C1F"/>
    <w:rsid w:val="004C1C32"/>
    <w:rsid w:val="004E3CB3"/>
    <w:rsid w:val="005460F8"/>
    <w:rsid w:val="005543A2"/>
    <w:rsid w:val="005674A3"/>
    <w:rsid w:val="00591137"/>
    <w:rsid w:val="005C4B34"/>
    <w:rsid w:val="005E7F50"/>
    <w:rsid w:val="00601309"/>
    <w:rsid w:val="00672FD5"/>
    <w:rsid w:val="006928CA"/>
    <w:rsid w:val="006A2A98"/>
    <w:rsid w:val="006B1A77"/>
    <w:rsid w:val="006C0493"/>
    <w:rsid w:val="0070081E"/>
    <w:rsid w:val="00726509"/>
    <w:rsid w:val="00794998"/>
    <w:rsid w:val="007A54B6"/>
    <w:rsid w:val="007C5814"/>
    <w:rsid w:val="007E4E3E"/>
    <w:rsid w:val="00822724"/>
    <w:rsid w:val="008964AA"/>
    <w:rsid w:val="008A6096"/>
    <w:rsid w:val="009D079A"/>
    <w:rsid w:val="009D72EC"/>
    <w:rsid w:val="00A12939"/>
    <w:rsid w:val="00A506E4"/>
    <w:rsid w:val="00A562A6"/>
    <w:rsid w:val="00A6469C"/>
    <w:rsid w:val="00B07CAB"/>
    <w:rsid w:val="00B83E05"/>
    <w:rsid w:val="00BA5D45"/>
    <w:rsid w:val="00BC6ED6"/>
    <w:rsid w:val="00C55BAC"/>
    <w:rsid w:val="00C755A6"/>
    <w:rsid w:val="00C82F6F"/>
    <w:rsid w:val="00C84AFF"/>
    <w:rsid w:val="00CB4658"/>
    <w:rsid w:val="00CC2377"/>
    <w:rsid w:val="00CC7150"/>
    <w:rsid w:val="00CE4BBE"/>
    <w:rsid w:val="00D1779A"/>
    <w:rsid w:val="00D22BB3"/>
    <w:rsid w:val="00D2707E"/>
    <w:rsid w:val="00D3396A"/>
    <w:rsid w:val="00D9298F"/>
    <w:rsid w:val="00D9771D"/>
    <w:rsid w:val="00E31390"/>
    <w:rsid w:val="00E4616B"/>
    <w:rsid w:val="00E5524C"/>
    <w:rsid w:val="00E75C80"/>
    <w:rsid w:val="00E92EED"/>
    <w:rsid w:val="00F34172"/>
    <w:rsid w:val="00F828AE"/>
    <w:rsid w:val="00F83994"/>
    <w:rsid w:val="00FC77E5"/>
    <w:rsid w:val="00FC79A2"/>
    <w:rsid w:val="00FF00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Balk1">
    <w:name w:val="heading 1"/>
    <w:basedOn w:val="Normal"/>
    <w:next w:val="Normal"/>
    <w:qFormat/>
    <w:rsid w:val="00025F22"/>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025F22"/>
    <w:pPr>
      <w:keepNext/>
      <w:spacing w:before="240" w:after="60"/>
      <w:outlineLvl w:val="1"/>
    </w:pPr>
    <w:rPr>
      <w:rFonts w:ascii="Arial" w:hAnsi="Arial" w:cs="Arial"/>
      <w:b/>
      <w:bCs/>
      <w:i/>
      <w:iCs/>
      <w:sz w:val="28"/>
      <w:szCs w:val="28"/>
    </w:rPr>
  </w:style>
  <w:style w:type="paragraph" w:styleId="Balk4">
    <w:name w:val="heading 4"/>
    <w:basedOn w:val="Normal"/>
    <w:next w:val="Normal"/>
    <w:qFormat/>
    <w:rsid w:val="00D9298F"/>
    <w:pPr>
      <w:keepNext/>
      <w:spacing w:before="240" w:after="60"/>
      <w:outlineLvl w:val="3"/>
    </w:pPr>
    <w:rPr>
      <w:b/>
      <w:bCs/>
      <w:sz w:val="28"/>
      <w:szCs w:val="28"/>
      <w:lang w:val="en-US" w:eastAsia="en-US"/>
    </w:rPr>
  </w:style>
  <w:style w:type="paragraph" w:styleId="Balk8">
    <w:name w:val="heading 8"/>
    <w:basedOn w:val="Normal"/>
    <w:next w:val="Normal"/>
    <w:qFormat/>
    <w:rsid w:val="00D9298F"/>
    <w:pPr>
      <w:spacing w:before="240" w:after="60"/>
      <w:outlineLvl w:val="7"/>
    </w:pPr>
    <w:rPr>
      <w:i/>
      <w:iCs/>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FC77E5"/>
    <w:pPr>
      <w:tabs>
        <w:tab w:val="center" w:pos="4536"/>
        <w:tab w:val="right" w:pos="9072"/>
      </w:tabs>
    </w:pPr>
  </w:style>
  <w:style w:type="paragraph" w:styleId="Altbilgi">
    <w:name w:val="footer"/>
    <w:basedOn w:val="Normal"/>
    <w:link w:val="AltbilgiChar"/>
    <w:uiPriority w:val="99"/>
    <w:rsid w:val="00FC77E5"/>
    <w:pPr>
      <w:tabs>
        <w:tab w:val="center" w:pos="4536"/>
        <w:tab w:val="right" w:pos="9072"/>
      </w:tabs>
    </w:pPr>
  </w:style>
  <w:style w:type="character" w:styleId="Kpr">
    <w:name w:val="Hyperlink"/>
    <w:rsid w:val="00D9298F"/>
    <w:rPr>
      <w:color w:val="0000FF"/>
      <w:u w:val="single"/>
    </w:rPr>
  </w:style>
  <w:style w:type="paragraph" w:styleId="DipnotMetni">
    <w:name w:val="footnote text"/>
    <w:basedOn w:val="Normal"/>
    <w:semiHidden/>
    <w:rsid w:val="006B1A77"/>
    <w:rPr>
      <w:sz w:val="20"/>
      <w:szCs w:val="20"/>
    </w:rPr>
  </w:style>
  <w:style w:type="character" w:styleId="DipnotBavurusu">
    <w:name w:val="footnote reference"/>
    <w:semiHidden/>
    <w:rsid w:val="006B1A77"/>
    <w:rPr>
      <w:vertAlign w:val="superscript"/>
    </w:rPr>
  </w:style>
  <w:style w:type="paragraph" w:styleId="GvdeMetniGirintisi">
    <w:name w:val="Body Text Indent"/>
    <w:basedOn w:val="Normal"/>
    <w:rsid w:val="00025F22"/>
    <w:pPr>
      <w:spacing w:after="60"/>
      <w:ind w:firstLine="567"/>
      <w:jc w:val="both"/>
    </w:pPr>
    <w:rPr>
      <w:rFonts w:ascii="Arial Narrow" w:hAnsi="Arial Narrow"/>
      <w:sz w:val="22"/>
      <w:szCs w:val="20"/>
    </w:rPr>
  </w:style>
  <w:style w:type="paragraph" w:styleId="GvdeMetniGirintisi2">
    <w:name w:val="Body Text Indent 2"/>
    <w:basedOn w:val="Normal"/>
    <w:rsid w:val="00025F22"/>
    <w:pPr>
      <w:spacing w:after="60"/>
      <w:ind w:firstLine="567"/>
      <w:jc w:val="both"/>
    </w:pPr>
    <w:rPr>
      <w:rFonts w:ascii="Arial Narrow" w:hAnsi="Arial Narrow"/>
      <w:sz w:val="20"/>
      <w:szCs w:val="20"/>
    </w:rPr>
  </w:style>
  <w:style w:type="paragraph" w:styleId="GvdeMetniGirintisi3">
    <w:name w:val="Body Text Indent 3"/>
    <w:basedOn w:val="Normal"/>
    <w:rsid w:val="00025F22"/>
    <w:pPr>
      <w:spacing w:after="120"/>
      <w:ind w:left="283"/>
    </w:pPr>
    <w:rPr>
      <w:sz w:val="16"/>
      <w:szCs w:val="16"/>
    </w:rPr>
  </w:style>
  <w:style w:type="paragraph" w:customStyle="1" w:styleId="GvdeMetni21">
    <w:name w:val="Gövde Metni 21"/>
    <w:basedOn w:val="Normal"/>
    <w:rsid w:val="00025F22"/>
    <w:pPr>
      <w:overflowPunct w:val="0"/>
      <w:autoSpaceDE w:val="0"/>
      <w:autoSpaceDN w:val="0"/>
      <w:adjustRightInd w:val="0"/>
      <w:spacing w:after="120" w:line="300" w:lineRule="atLeast"/>
      <w:jc w:val="both"/>
      <w:textAlignment w:val="baseline"/>
    </w:pPr>
    <w:rPr>
      <w:rFonts w:ascii="Arial Narrow" w:hAnsi="Arial Narrow"/>
      <w:sz w:val="22"/>
      <w:szCs w:val="20"/>
    </w:rPr>
  </w:style>
  <w:style w:type="paragraph" w:styleId="GvdeMetni">
    <w:name w:val="Body Text"/>
    <w:basedOn w:val="Normal"/>
    <w:rsid w:val="00025F22"/>
    <w:pPr>
      <w:spacing w:after="120"/>
    </w:pPr>
  </w:style>
  <w:style w:type="paragraph" w:styleId="NormalWeb">
    <w:name w:val="Normal (Web)"/>
    <w:basedOn w:val="Normal"/>
    <w:uiPriority w:val="99"/>
    <w:rsid w:val="00025F22"/>
    <w:pPr>
      <w:spacing w:before="100" w:beforeAutospacing="1" w:after="100" w:afterAutospacing="1"/>
    </w:pPr>
    <w:rPr>
      <w:rFonts w:ascii="Arial" w:eastAsia="Arial Unicode MS" w:hAnsi="Arial" w:cs="Arial"/>
      <w:color w:val="000000"/>
      <w:sz w:val="18"/>
      <w:szCs w:val="18"/>
    </w:rPr>
  </w:style>
  <w:style w:type="character" w:styleId="Gl">
    <w:name w:val="Strong"/>
    <w:uiPriority w:val="22"/>
    <w:qFormat/>
    <w:rsid w:val="00025F22"/>
    <w:rPr>
      <w:b/>
      <w:bCs/>
    </w:rPr>
  </w:style>
  <w:style w:type="character" w:styleId="Vurgu">
    <w:name w:val="Emphasis"/>
    <w:qFormat/>
    <w:rsid w:val="00025F22"/>
    <w:rPr>
      <w:i/>
      <w:iCs/>
    </w:rPr>
  </w:style>
  <w:style w:type="paragraph" w:customStyle="1" w:styleId="stil1">
    <w:name w:val="stil1"/>
    <w:basedOn w:val="Normal"/>
    <w:rsid w:val="00025F22"/>
    <w:pPr>
      <w:spacing w:before="100" w:beforeAutospacing="1" w:after="100" w:afterAutospacing="1"/>
    </w:pPr>
  </w:style>
  <w:style w:type="character" w:customStyle="1" w:styleId="apple-converted-space">
    <w:name w:val="apple-converted-space"/>
    <w:basedOn w:val="VarsaylanParagrafYazTipi"/>
    <w:rsid w:val="00025F22"/>
  </w:style>
  <w:style w:type="character" w:customStyle="1" w:styleId="stbilgiChar">
    <w:name w:val="Üstbilgi Char"/>
    <w:link w:val="stbilgi"/>
    <w:uiPriority w:val="99"/>
    <w:rsid w:val="00D2707E"/>
    <w:rPr>
      <w:sz w:val="24"/>
      <w:szCs w:val="24"/>
    </w:rPr>
  </w:style>
  <w:style w:type="character" w:customStyle="1" w:styleId="AltbilgiChar">
    <w:name w:val="Altbilgi Char"/>
    <w:link w:val="Altbilgi"/>
    <w:uiPriority w:val="99"/>
    <w:rsid w:val="00CC237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6669">
      <w:bodyDiv w:val="1"/>
      <w:marLeft w:val="0"/>
      <w:marRight w:val="0"/>
      <w:marTop w:val="0"/>
      <w:marBottom w:val="0"/>
      <w:divBdr>
        <w:top w:val="none" w:sz="0" w:space="0" w:color="auto"/>
        <w:left w:val="none" w:sz="0" w:space="0" w:color="auto"/>
        <w:bottom w:val="none" w:sz="0" w:space="0" w:color="auto"/>
        <w:right w:val="none" w:sz="0" w:space="0" w:color="auto"/>
      </w:divBdr>
    </w:div>
    <w:div w:id="653685735">
      <w:bodyDiv w:val="1"/>
      <w:marLeft w:val="0"/>
      <w:marRight w:val="0"/>
      <w:marTop w:val="0"/>
      <w:marBottom w:val="0"/>
      <w:divBdr>
        <w:top w:val="none" w:sz="0" w:space="0" w:color="auto"/>
        <w:left w:val="none" w:sz="0" w:space="0" w:color="auto"/>
        <w:bottom w:val="none" w:sz="0" w:space="0" w:color="auto"/>
        <w:right w:val="none" w:sz="0" w:space="0" w:color="auto"/>
      </w:divBdr>
    </w:div>
    <w:div w:id="862287479">
      <w:bodyDiv w:val="1"/>
      <w:marLeft w:val="0"/>
      <w:marRight w:val="0"/>
      <w:marTop w:val="0"/>
      <w:marBottom w:val="0"/>
      <w:divBdr>
        <w:top w:val="none" w:sz="0" w:space="0" w:color="auto"/>
        <w:left w:val="none" w:sz="0" w:space="0" w:color="auto"/>
        <w:bottom w:val="none" w:sz="0" w:space="0" w:color="auto"/>
        <w:right w:val="none" w:sz="0" w:space="0" w:color="auto"/>
      </w:divBdr>
    </w:div>
    <w:div w:id="1662271994">
      <w:bodyDiv w:val="1"/>
      <w:marLeft w:val="0"/>
      <w:marRight w:val="0"/>
      <w:marTop w:val="0"/>
      <w:marBottom w:val="0"/>
      <w:divBdr>
        <w:top w:val="none" w:sz="0" w:space="0" w:color="auto"/>
        <w:left w:val="none" w:sz="0" w:space="0" w:color="auto"/>
        <w:bottom w:val="none" w:sz="0" w:space="0" w:color="auto"/>
        <w:right w:val="none" w:sz="0" w:space="0" w:color="auto"/>
      </w:divBdr>
    </w:div>
    <w:div w:id="1705517665">
      <w:bodyDiv w:val="1"/>
      <w:marLeft w:val="0"/>
      <w:marRight w:val="0"/>
      <w:marTop w:val="0"/>
      <w:marBottom w:val="0"/>
      <w:divBdr>
        <w:top w:val="none" w:sz="0" w:space="0" w:color="auto"/>
        <w:left w:val="none" w:sz="0" w:space="0" w:color="auto"/>
        <w:bottom w:val="none" w:sz="0" w:space="0" w:color="auto"/>
        <w:right w:val="none" w:sz="0" w:space="0" w:color="auto"/>
      </w:divBdr>
    </w:div>
    <w:div w:id="2112777712">
      <w:bodyDiv w:val="1"/>
      <w:marLeft w:val="0"/>
      <w:marRight w:val="0"/>
      <w:marTop w:val="0"/>
      <w:marBottom w:val="0"/>
      <w:divBdr>
        <w:top w:val="none" w:sz="0" w:space="0" w:color="auto"/>
        <w:left w:val="none" w:sz="0" w:space="0" w:color="auto"/>
        <w:bottom w:val="none" w:sz="0" w:space="0" w:color="auto"/>
        <w:right w:val="none" w:sz="0" w:space="0" w:color="auto"/>
      </w:divBdr>
      <w:divsChild>
        <w:div w:id="263342819">
          <w:marLeft w:val="0"/>
          <w:marRight w:val="0"/>
          <w:marTop w:val="0"/>
          <w:marBottom w:val="0"/>
          <w:divBdr>
            <w:top w:val="none" w:sz="0" w:space="0" w:color="auto"/>
            <w:left w:val="none" w:sz="0" w:space="0" w:color="auto"/>
            <w:bottom w:val="none" w:sz="0" w:space="0" w:color="auto"/>
            <w:right w:val="none" w:sz="0" w:space="0" w:color="auto"/>
          </w:divBdr>
          <w:divsChild>
            <w:div w:id="283924678">
              <w:marLeft w:val="0"/>
              <w:marRight w:val="0"/>
              <w:marTop w:val="0"/>
              <w:marBottom w:val="0"/>
              <w:divBdr>
                <w:top w:val="none" w:sz="0" w:space="0" w:color="auto"/>
                <w:left w:val="none" w:sz="0" w:space="0" w:color="auto"/>
                <w:bottom w:val="none" w:sz="0" w:space="0" w:color="auto"/>
                <w:right w:val="none" w:sz="0" w:space="0" w:color="auto"/>
              </w:divBdr>
            </w:div>
            <w:div w:id="1122260347">
              <w:marLeft w:val="0"/>
              <w:marRight w:val="0"/>
              <w:marTop w:val="0"/>
              <w:marBottom w:val="0"/>
              <w:divBdr>
                <w:top w:val="none" w:sz="0" w:space="0" w:color="auto"/>
                <w:left w:val="none" w:sz="0" w:space="0" w:color="auto"/>
                <w:bottom w:val="none" w:sz="0" w:space="0" w:color="auto"/>
                <w:right w:val="none" w:sz="0" w:space="0" w:color="auto"/>
              </w:divBdr>
            </w:div>
            <w:div w:id="1578124723">
              <w:marLeft w:val="0"/>
              <w:marRight w:val="0"/>
              <w:marTop w:val="0"/>
              <w:marBottom w:val="0"/>
              <w:divBdr>
                <w:top w:val="none" w:sz="0" w:space="0" w:color="auto"/>
                <w:left w:val="none" w:sz="0" w:space="0" w:color="auto"/>
                <w:bottom w:val="none" w:sz="0" w:space="0" w:color="auto"/>
                <w:right w:val="none" w:sz="0" w:space="0" w:color="auto"/>
              </w:divBdr>
            </w:div>
            <w:div w:id="2038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facebook.com/TIHV.HRF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ozer@tihv.org.t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hv.org.t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ihv@tihv.org.t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twitter.com/insanhaklar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B9020-EEC0-43BE-857D-D44946919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567</Words>
  <Characters>3235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Grizli777</Company>
  <LinksUpToDate>false</LinksUpToDate>
  <CharactersWithSpaces>3795</CharactersWithSpaces>
  <SharedDoc>false</SharedDoc>
  <HLinks>
    <vt:vector size="12" baseType="variant">
      <vt:variant>
        <vt:i4>3604531</vt:i4>
      </vt:variant>
      <vt:variant>
        <vt:i4>6</vt:i4>
      </vt:variant>
      <vt:variant>
        <vt:i4>0</vt:i4>
      </vt:variant>
      <vt:variant>
        <vt:i4>5</vt:i4>
      </vt:variant>
      <vt:variant>
        <vt:lpwstr>http://www.tihv.org.tr/</vt:lpwstr>
      </vt:variant>
      <vt:variant>
        <vt:lpwstr/>
      </vt:variant>
      <vt:variant>
        <vt:i4>6094907</vt:i4>
      </vt:variant>
      <vt:variant>
        <vt:i4>3</vt:i4>
      </vt:variant>
      <vt:variant>
        <vt:i4>0</vt:i4>
      </vt:variant>
      <vt:variant>
        <vt:i4>5</vt:i4>
      </vt:variant>
      <vt:variant>
        <vt:lpwstr>mailto:tihv@tihv.org.tr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Pro</cp:lastModifiedBy>
  <cp:revision>4</cp:revision>
  <dcterms:created xsi:type="dcterms:W3CDTF">2014-05-09T09:16:00Z</dcterms:created>
  <dcterms:modified xsi:type="dcterms:W3CDTF">2014-05-15T11:39:00Z</dcterms:modified>
</cp:coreProperties>
</file>