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868364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51EB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051EB7">
        <w:rPr>
          <w:rFonts w:ascii="Verdana" w:hAnsi="Verdana" w:cs="Tahoma"/>
          <w:b/>
          <w:sz w:val="18"/>
          <w:szCs w:val="18"/>
        </w:rPr>
        <w:t>Kasım 2014 Günlük İnsan Hakları Raporu</w:t>
      </w:r>
    </w:p>
    <w:p w:rsidR="00051EB7" w:rsidRPr="008E74A4" w:rsidRDefault="00051EB7" w:rsidP="00051EB7">
      <w:pPr>
        <w:spacing w:after="120" w:line="300" w:lineRule="atLeast"/>
        <w:ind w:firstLine="709"/>
        <w:jc w:val="both"/>
        <w:rPr>
          <w:rFonts w:ascii="Verdana" w:hAnsi="Verdana"/>
          <w:b/>
          <w:sz w:val="18"/>
          <w:szCs w:val="18"/>
        </w:rPr>
      </w:pPr>
      <w:r>
        <w:rPr>
          <w:rFonts w:ascii="Verdana" w:hAnsi="Verdana"/>
          <w:b/>
          <w:sz w:val="18"/>
          <w:szCs w:val="18"/>
        </w:rPr>
        <w:t xml:space="preserve">(11/175) </w:t>
      </w:r>
      <w:r w:rsidRPr="008E74A4">
        <w:rPr>
          <w:rFonts w:ascii="Verdana" w:hAnsi="Verdana"/>
          <w:b/>
          <w:sz w:val="18"/>
          <w:szCs w:val="18"/>
        </w:rPr>
        <w:t xml:space="preserve">Yargısız İnfaz </w:t>
      </w:r>
      <w:r>
        <w:rPr>
          <w:rFonts w:ascii="Verdana" w:hAnsi="Verdana"/>
          <w:b/>
          <w:sz w:val="18"/>
          <w:szCs w:val="18"/>
        </w:rPr>
        <w:t>Davasında Cezasızlık</w:t>
      </w:r>
      <w:r w:rsidRPr="008E74A4">
        <w:rPr>
          <w:rFonts w:ascii="Verdana" w:hAnsi="Verdana"/>
          <w:b/>
          <w:sz w:val="18"/>
          <w:szCs w:val="18"/>
        </w:rPr>
        <w:t>…</w:t>
      </w:r>
    </w:p>
    <w:p w:rsidR="00051EB7" w:rsidRPr="008E74A4" w:rsidRDefault="00051EB7" w:rsidP="00051EB7">
      <w:pPr>
        <w:spacing w:after="120" w:line="300" w:lineRule="atLeast"/>
        <w:ind w:firstLine="709"/>
        <w:jc w:val="both"/>
        <w:rPr>
          <w:rFonts w:ascii="Verdana" w:hAnsi="Verdana"/>
          <w:sz w:val="18"/>
          <w:szCs w:val="18"/>
        </w:rPr>
      </w:pPr>
      <w:r w:rsidRPr="008E74A4">
        <w:rPr>
          <w:rFonts w:ascii="Verdana" w:hAnsi="Verdana"/>
          <w:sz w:val="18"/>
          <w:szCs w:val="18"/>
        </w:rPr>
        <w:t xml:space="preserve">Hakkâri’nin Taşbaşı Köyü’nde 1995 yılının Haziran ayında Recep Kurt ve Kerim İncin adlı köylüleri köy meydanında kurşuna dizerek öldürdüğü iddia edilen ve o dönem </w:t>
      </w:r>
      <w:proofErr w:type="spellStart"/>
      <w:r w:rsidRPr="002C6B91">
        <w:rPr>
          <w:rFonts w:ascii="Verdana" w:hAnsi="Verdana"/>
          <w:sz w:val="18"/>
          <w:szCs w:val="18"/>
        </w:rPr>
        <w:t>Rontkê</w:t>
      </w:r>
      <w:proofErr w:type="spellEnd"/>
      <w:r w:rsidRPr="008E74A4">
        <w:rPr>
          <w:rFonts w:ascii="Verdana" w:hAnsi="Verdana"/>
          <w:sz w:val="18"/>
          <w:szCs w:val="18"/>
        </w:rPr>
        <w:t xml:space="preserve"> </w:t>
      </w:r>
      <w:r>
        <w:rPr>
          <w:rFonts w:ascii="Verdana" w:hAnsi="Verdana"/>
          <w:sz w:val="18"/>
          <w:szCs w:val="18"/>
        </w:rPr>
        <w:t>(</w:t>
      </w:r>
      <w:r w:rsidRPr="008E74A4">
        <w:rPr>
          <w:rFonts w:ascii="Verdana" w:hAnsi="Verdana"/>
          <w:sz w:val="18"/>
          <w:szCs w:val="18"/>
        </w:rPr>
        <w:t>Geçimli</w:t>
      </w:r>
      <w:r>
        <w:rPr>
          <w:rFonts w:ascii="Verdana" w:hAnsi="Verdana"/>
          <w:sz w:val="18"/>
          <w:szCs w:val="18"/>
        </w:rPr>
        <w:t>)</w:t>
      </w:r>
      <w:r w:rsidRPr="008E74A4">
        <w:rPr>
          <w:rFonts w:ascii="Verdana" w:hAnsi="Verdana"/>
          <w:sz w:val="18"/>
          <w:szCs w:val="18"/>
        </w:rPr>
        <w:t xml:space="preserve"> Jandarma Karakolu Komutanı olarak görev yapan Astsubay Yunus Karaca hakkında </w:t>
      </w:r>
      <w:r>
        <w:rPr>
          <w:rFonts w:ascii="Verdana" w:hAnsi="Verdana"/>
          <w:sz w:val="18"/>
          <w:szCs w:val="18"/>
        </w:rPr>
        <w:t>açılan dava 27 Kasım 2014’te sonuçlandı.</w:t>
      </w:r>
    </w:p>
    <w:p w:rsidR="00051EB7" w:rsidRPr="002C6B91" w:rsidRDefault="00051EB7" w:rsidP="00051EB7">
      <w:pPr>
        <w:spacing w:after="120" w:line="300" w:lineRule="atLeast"/>
        <w:ind w:firstLine="709"/>
        <w:jc w:val="both"/>
        <w:rPr>
          <w:rFonts w:ascii="Verdana" w:hAnsi="Verdana"/>
          <w:sz w:val="18"/>
          <w:szCs w:val="18"/>
        </w:rPr>
      </w:pPr>
      <w:r w:rsidRPr="008E74A4">
        <w:rPr>
          <w:rFonts w:ascii="Verdana" w:hAnsi="Verdana"/>
          <w:sz w:val="18"/>
          <w:szCs w:val="18"/>
        </w:rPr>
        <w:t>Savcı</w:t>
      </w:r>
      <w:r>
        <w:rPr>
          <w:rFonts w:ascii="Verdana" w:hAnsi="Verdana"/>
          <w:sz w:val="18"/>
          <w:szCs w:val="18"/>
        </w:rPr>
        <w:t>nın,</w:t>
      </w:r>
      <w:r w:rsidRPr="008E74A4">
        <w:rPr>
          <w:rFonts w:ascii="Verdana" w:hAnsi="Verdana"/>
          <w:sz w:val="18"/>
          <w:szCs w:val="18"/>
        </w:rPr>
        <w:t xml:space="preserve"> hazırladığı iddianamede “ifadelerine başvurulan 18 tanığın verdiği ifadeler doğrultusunda Yunus Karaca’nın suçu işlediği anlaşılmakta” diyerek Yunus Karaca’nın “kasten insan öldürme” suçundan cezalandırılmasını iste</w:t>
      </w:r>
      <w:r>
        <w:rPr>
          <w:rFonts w:ascii="Verdana" w:hAnsi="Verdana"/>
          <w:sz w:val="18"/>
          <w:szCs w:val="18"/>
        </w:rPr>
        <w:t xml:space="preserve">ği iddianameyi kabul eden </w:t>
      </w:r>
      <w:r w:rsidRPr="008E74A4">
        <w:rPr>
          <w:rFonts w:ascii="Verdana" w:hAnsi="Verdana"/>
          <w:sz w:val="18"/>
          <w:szCs w:val="18"/>
        </w:rPr>
        <w:t>Hakkâri Ağır Ceza Mahkemesi</w:t>
      </w:r>
      <w:r>
        <w:rPr>
          <w:rFonts w:ascii="Verdana" w:hAnsi="Verdana"/>
          <w:sz w:val="18"/>
          <w:szCs w:val="18"/>
        </w:rPr>
        <w:t>’ndeki karar duruşmasında</w:t>
      </w:r>
      <w:r w:rsidRPr="008E74A4">
        <w:rPr>
          <w:rFonts w:ascii="Verdana" w:hAnsi="Verdana"/>
          <w:sz w:val="18"/>
          <w:szCs w:val="18"/>
        </w:rPr>
        <w:t xml:space="preserve"> </w:t>
      </w:r>
      <w:r>
        <w:rPr>
          <w:rFonts w:ascii="Verdana" w:hAnsi="Verdana"/>
          <w:sz w:val="18"/>
          <w:szCs w:val="18"/>
        </w:rPr>
        <w:t>mahkeme heyeti sanığın beraat ettiğini açıkladı.</w:t>
      </w:r>
    </w:p>
    <w:p w:rsidR="00051EB7" w:rsidRDefault="00051EB7" w:rsidP="00051EB7">
      <w:pPr>
        <w:spacing w:after="120" w:line="300" w:lineRule="atLeast"/>
        <w:ind w:firstLine="709"/>
        <w:jc w:val="both"/>
        <w:rPr>
          <w:rFonts w:ascii="Verdana" w:hAnsi="Verdana"/>
          <w:b/>
          <w:sz w:val="18"/>
          <w:szCs w:val="18"/>
        </w:rPr>
      </w:pPr>
      <w:r>
        <w:rPr>
          <w:rFonts w:ascii="Verdana" w:hAnsi="Verdana"/>
          <w:b/>
          <w:sz w:val="18"/>
          <w:szCs w:val="18"/>
        </w:rPr>
        <w:t>(11/176) Van’da Gözaltında İşkence ve Kötü Muamele…</w:t>
      </w:r>
    </w:p>
    <w:p w:rsidR="00051EB7" w:rsidRPr="002C6B91" w:rsidRDefault="00051EB7" w:rsidP="00051EB7">
      <w:pPr>
        <w:spacing w:after="120" w:line="300" w:lineRule="atLeast"/>
        <w:ind w:firstLine="709"/>
        <w:jc w:val="both"/>
        <w:rPr>
          <w:rFonts w:ascii="Verdana" w:hAnsi="Verdana"/>
          <w:sz w:val="18"/>
          <w:szCs w:val="18"/>
        </w:rPr>
      </w:pPr>
      <w:r>
        <w:rPr>
          <w:rFonts w:ascii="Verdana" w:hAnsi="Verdana"/>
          <w:sz w:val="18"/>
          <w:szCs w:val="18"/>
        </w:rPr>
        <w:t>Van’</w:t>
      </w:r>
      <w:r w:rsidRPr="002C6B91">
        <w:rPr>
          <w:rFonts w:ascii="Verdana" w:hAnsi="Verdana"/>
          <w:sz w:val="18"/>
          <w:szCs w:val="18"/>
        </w:rPr>
        <w:t>da 25 Kasım</w:t>
      </w:r>
      <w:r>
        <w:rPr>
          <w:rFonts w:ascii="Verdana" w:hAnsi="Verdana"/>
          <w:sz w:val="18"/>
          <w:szCs w:val="18"/>
        </w:rPr>
        <w:t xml:space="preserve"> 2014’te Kadına Yönelik Şiddetle Uluslar</w:t>
      </w:r>
      <w:r w:rsidRPr="002C6B91">
        <w:rPr>
          <w:rFonts w:ascii="Verdana" w:hAnsi="Verdana"/>
          <w:sz w:val="18"/>
          <w:szCs w:val="18"/>
        </w:rPr>
        <w:t xml:space="preserve">arası Mücadele ve Dayanışma Günü </w:t>
      </w:r>
      <w:r>
        <w:rPr>
          <w:rFonts w:ascii="Verdana" w:hAnsi="Verdana"/>
          <w:sz w:val="18"/>
          <w:szCs w:val="18"/>
        </w:rPr>
        <w:t xml:space="preserve">dolayısıyla </w:t>
      </w:r>
      <w:r w:rsidRPr="002C6B91">
        <w:rPr>
          <w:rFonts w:ascii="Verdana" w:hAnsi="Verdana"/>
          <w:sz w:val="18"/>
          <w:szCs w:val="18"/>
        </w:rPr>
        <w:t>düzenlenen kadın yürüyüşü için Erciş</w:t>
      </w:r>
      <w:r>
        <w:rPr>
          <w:rFonts w:ascii="Verdana" w:hAnsi="Verdana"/>
          <w:sz w:val="18"/>
          <w:szCs w:val="18"/>
        </w:rPr>
        <w:t>’ten Van’</w:t>
      </w:r>
      <w:r w:rsidRPr="002C6B91">
        <w:rPr>
          <w:rFonts w:ascii="Verdana" w:hAnsi="Verdana"/>
          <w:sz w:val="18"/>
          <w:szCs w:val="18"/>
        </w:rPr>
        <w:t xml:space="preserve">a gelmek isteyen </w:t>
      </w:r>
      <w:r>
        <w:rPr>
          <w:rFonts w:ascii="Verdana" w:hAnsi="Verdana"/>
          <w:sz w:val="18"/>
          <w:szCs w:val="18"/>
        </w:rPr>
        <w:t xml:space="preserve">2 kadının </w:t>
      </w:r>
      <w:r w:rsidRPr="002C6B91">
        <w:rPr>
          <w:rFonts w:ascii="Verdana" w:hAnsi="Verdana"/>
          <w:sz w:val="18"/>
          <w:szCs w:val="18"/>
        </w:rPr>
        <w:t>ilçe girişinde polis tarafından ifade</w:t>
      </w:r>
      <w:r>
        <w:rPr>
          <w:rFonts w:ascii="Verdana" w:hAnsi="Verdana"/>
          <w:sz w:val="18"/>
          <w:szCs w:val="18"/>
        </w:rPr>
        <w:t xml:space="preserve">leri </w:t>
      </w:r>
      <w:r w:rsidRPr="002C6B91">
        <w:rPr>
          <w:rFonts w:ascii="Verdana" w:hAnsi="Verdana"/>
          <w:sz w:val="18"/>
          <w:szCs w:val="18"/>
        </w:rPr>
        <w:t xml:space="preserve">alınmak üzere </w:t>
      </w:r>
      <w:r>
        <w:rPr>
          <w:rFonts w:ascii="Verdana" w:hAnsi="Verdana"/>
          <w:sz w:val="18"/>
          <w:szCs w:val="18"/>
        </w:rPr>
        <w:t xml:space="preserve">Çevik Kuvvet Merkezi’ne </w:t>
      </w:r>
      <w:r w:rsidRPr="002C6B91">
        <w:rPr>
          <w:rFonts w:ascii="Verdana" w:hAnsi="Verdana"/>
          <w:sz w:val="18"/>
          <w:szCs w:val="18"/>
        </w:rPr>
        <w:t xml:space="preserve">götürüldüğü ve </w:t>
      </w:r>
      <w:r>
        <w:rPr>
          <w:rFonts w:ascii="Verdana" w:hAnsi="Verdana"/>
          <w:sz w:val="18"/>
          <w:szCs w:val="18"/>
        </w:rPr>
        <w:t xml:space="preserve">burada </w:t>
      </w:r>
      <w:r w:rsidRPr="002C6B91">
        <w:rPr>
          <w:rFonts w:ascii="Verdana" w:hAnsi="Verdana"/>
          <w:sz w:val="18"/>
          <w:szCs w:val="18"/>
        </w:rPr>
        <w:t xml:space="preserve">polisler tarafından </w:t>
      </w:r>
      <w:r>
        <w:rPr>
          <w:rFonts w:ascii="Verdana" w:hAnsi="Verdana"/>
          <w:sz w:val="18"/>
          <w:szCs w:val="18"/>
        </w:rPr>
        <w:t xml:space="preserve">“ince arama” adı altında zorla elbiselerinin çıkarıldığı </w:t>
      </w:r>
      <w:r w:rsidRPr="002C6B91">
        <w:rPr>
          <w:rFonts w:ascii="Verdana" w:hAnsi="Verdana"/>
          <w:sz w:val="18"/>
          <w:szCs w:val="18"/>
        </w:rPr>
        <w:t xml:space="preserve">ortaya çıktı. </w:t>
      </w:r>
    </w:p>
    <w:p w:rsidR="00051EB7" w:rsidRPr="006562FE" w:rsidRDefault="00051EB7" w:rsidP="00051EB7">
      <w:pPr>
        <w:spacing w:after="120" w:line="300" w:lineRule="atLeast"/>
        <w:ind w:firstLine="709"/>
        <w:jc w:val="both"/>
        <w:rPr>
          <w:rFonts w:ascii="Verdana" w:hAnsi="Verdana"/>
          <w:b/>
          <w:sz w:val="18"/>
          <w:szCs w:val="18"/>
        </w:rPr>
      </w:pPr>
      <w:r>
        <w:rPr>
          <w:rFonts w:ascii="Verdana" w:hAnsi="Verdana"/>
          <w:b/>
          <w:sz w:val="18"/>
          <w:szCs w:val="18"/>
        </w:rPr>
        <w:t xml:space="preserve">(11/177) </w:t>
      </w:r>
      <w:r w:rsidRPr="006562FE">
        <w:rPr>
          <w:rFonts w:ascii="Verdana" w:hAnsi="Verdana"/>
          <w:b/>
          <w:sz w:val="18"/>
          <w:szCs w:val="18"/>
        </w:rPr>
        <w:t>Cezaevleri Katliamı Davasında Yargılanan Savcı…</w:t>
      </w:r>
    </w:p>
    <w:p w:rsidR="00051EB7" w:rsidRPr="006562FE" w:rsidRDefault="00051EB7" w:rsidP="00051EB7">
      <w:pPr>
        <w:spacing w:after="120" w:line="300" w:lineRule="atLeast"/>
        <w:ind w:firstLine="709"/>
        <w:jc w:val="both"/>
        <w:rPr>
          <w:rFonts w:ascii="Verdana" w:hAnsi="Verdana"/>
          <w:sz w:val="18"/>
          <w:szCs w:val="18"/>
        </w:rPr>
      </w:pPr>
      <w:r w:rsidRPr="006562FE">
        <w:rPr>
          <w:rFonts w:ascii="Verdana" w:hAnsi="Verdana"/>
          <w:sz w:val="18"/>
          <w:szCs w:val="18"/>
        </w:rPr>
        <w:t xml:space="preserve">19 Aralık 2000’de 20 cezaevinde düzenlenen ve 32 kişinin öldürüldüğü “Hayata Dönüş” Operasyonu’nun, 12 tutuklu ve hükümlünün öldürüldüğü Bayrampaşa Cezaevi’ne (İstanbul) yönelik </w:t>
      </w:r>
      <w:r>
        <w:rPr>
          <w:rFonts w:ascii="Verdana" w:hAnsi="Verdana"/>
          <w:sz w:val="18"/>
          <w:szCs w:val="18"/>
        </w:rPr>
        <w:lastRenderedPageBreak/>
        <w:t>kısmını</w:t>
      </w:r>
      <w:r w:rsidRPr="006562FE">
        <w:rPr>
          <w:rFonts w:ascii="Verdana" w:hAnsi="Verdana"/>
          <w:sz w:val="18"/>
          <w:szCs w:val="18"/>
        </w:rPr>
        <w:t xml:space="preserve"> soruşturmadığı için hakkında dava açılan dönemin Eyüp Savcısı Ali İhsan Demirel’in yargılanmasına </w:t>
      </w:r>
      <w:r>
        <w:rPr>
          <w:rFonts w:ascii="Verdana" w:hAnsi="Verdana"/>
          <w:sz w:val="18"/>
          <w:szCs w:val="18"/>
        </w:rPr>
        <w:t>26 Kasım 2014’te devam edildi</w:t>
      </w:r>
      <w:r w:rsidRPr="006562FE">
        <w:rPr>
          <w:rFonts w:ascii="Verdana" w:hAnsi="Verdana"/>
          <w:sz w:val="18"/>
          <w:szCs w:val="18"/>
        </w:rPr>
        <w:t>.</w:t>
      </w:r>
    </w:p>
    <w:p w:rsidR="00051EB7" w:rsidRDefault="00051EB7" w:rsidP="00051EB7">
      <w:pPr>
        <w:spacing w:after="120" w:line="300" w:lineRule="atLeast"/>
        <w:ind w:firstLine="709"/>
        <w:jc w:val="both"/>
        <w:rPr>
          <w:rFonts w:ascii="Verdana" w:hAnsi="Verdana"/>
          <w:sz w:val="18"/>
          <w:szCs w:val="18"/>
        </w:rPr>
      </w:pPr>
      <w:r w:rsidRPr="006562FE">
        <w:rPr>
          <w:rFonts w:ascii="Verdana" w:hAnsi="Verdana"/>
          <w:sz w:val="18"/>
          <w:szCs w:val="18"/>
        </w:rPr>
        <w:t>Sanık savcının “görevi kötüye kullanmak” suçlamasından yargılandığı davanın Yargıtay 5. Ceza Dairesi’ndeki duruşmasın</w:t>
      </w:r>
      <w:r>
        <w:rPr>
          <w:rFonts w:ascii="Verdana" w:hAnsi="Verdana"/>
          <w:sz w:val="18"/>
          <w:szCs w:val="18"/>
        </w:rPr>
        <w:t>d</w:t>
      </w:r>
      <w:r w:rsidRPr="006562FE">
        <w:rPr>
          <w:rFonts w:ascii="Verdana" w:hAnsi="Verdana"/>
          <w:sz w:val="18"/>
          <w:szCs w:val="18"/>
        </w:rPr>
        <w:t xml:space="preserve">a </w:t>
      </w:r>
      <w:r>
        <w:rPr>
          <w:rFonts w:ascii="Verdana" w:hAnsi="Verdana"/>
          <w:sz w:val="18"/>
          <w:szCs w:val="18"/>
        </w:rPr>
        <w:t>Yargıtay Cumhuriyet Başsavcılığı mütalaasını sundu.</w:t>
      </w:r>
    </w:p>
    <w:p w:rsidR="00051EB7" w:rsidRPr="002C6B91" w:rsidRDefault="00051EB7" w:rsidP="00051EB7">
      <w:pPr>
        <w:spacing w:after="120" w:line="300" w:lineRule="atLeast"/>
        <w:ind w:firstLine="709"/>
        <w:jc w:val="both"/>
        <w:rPr>
          <w:rFonts w:ascii="Verdana" w:hAnsi="Verdana"/>
          <w:sz w:val="18"/>
          <w:szCs w:val="18"/>
        </w:rPr>
      </w:pPr>
      <w:r w:rsidRPr="002C6B91">
        <w:rPr>
          <w:rFonts w:ascii="Verdana" w:hAnsi="Verdana"/>
          <w:sz w:val="18"/>
          <w:szCs w:val="18"/>
        </w:rPr>
        <w:t xml:space="preserve">Savcı Muharrem Zeki Özcan, </w:t>
      </w:r>
      <w:r>
        <w:rPr>
          <w:rFonts w:ascii="Verdana" w:hAnsi="Verdana"/>
          <w:sz w:val="18"/>
          <w:szCs w:val="18"/>
        </w:rPr>
        <w:t>sanık s</w:t>
      </w:r>
      <w:r w:rsidRPr="002C6B91">
        <w:rPr>
          <w:rFonts w:ascii="Verdana" w:hAnsi="Verdana"/>
          <w:sz w:val="18"/>
          <w:szCs w:val="18"/>
        </w:rPr>
        <w:t>avcı</w:t>
      </w:r>
      <w:r>
        <w:rPr>
          <w:rFonts w:ascii="Verdana" w:hAnsi="Verdana"/>
          <w:sz w:val="18"/>
          <w:szCs w:val="18"/>
        </w:rPr>
        <w:t>nın,</w:t>
      </w:r>
      <w:r w:rsidRPr="002C6B91">
        <w:rPr>
          <w:rFonts w:ascii="Verdana" w:hAnsi="Verdana"/>
          <w:sz w:val="18"/>
          <w:szCs w:val="18"/>
        </w:rPr>
        <w:t xml:space="preserve"> Türk Ceza Kanunu’nun </w:t>
      </w:r>
      <w:r>
        <w:rPr>
          <w:rFonts w:ascii="Verdana" w:hAnsi="Verdana"/>
          <w:sz w:val="18"/>
          <w:szCs w:val="18"/>
        </w:rPr>
        <w:t>(TCK) 257/1 maddesi uyarınca</w:t>
      </w:r>
      <w:r w:rsidRPr="002C6B91">
        <w:rPr>
          <w:rFonts w:ascii="Verdana" w:hAnsi="Verdana"/>
          <w:sz w:val="18"/>
          <w:szCs w:val="18"/>
        </w:rPr>
        <w:t xml:space="preserve"> </w:t>
      </w:r>
      <w:r>
        <w:rPr>
          <w:rFonts w:ascii="Verdana" w:hAnsi="Verdana"/>
          <w:sz w:val="18"/>
          <w:szCs w:val="18"/>
        </w:rPr>
        <w:t xml:space="preserve">ertelenmemek üzere </w:t>
      </w:r>
      <w:r w:rsidRPr="002C6B91">
        <w:rPr>
          <w:rFonts w:ascii="Verdana" w:hAnsi="Verdana"/>
          <w:sz w:val="18"/>
          <w:szCs w:val="18"/>
        </w:rPr>
        <w:t>üç yıla kadar hapis cezası verilmesini istedi. Mütala</w:t>
      </w:r>
      <w:r>
        <w:rPr>
          <w:rFonts w:ascii="Verdana" w:hAnsi="Verdana"/>
          <w:sz w:val="18"/>
          <w:szCs w:val="18"/>
        </w:rPr>
        <w:t>ada, Ali İhsan Demirel’in TCK’ni</w:t>
      </w:r>
      <w:r w:rsidRPr="002C6B91">
        <w:rPr>
          <w:rFonts w:ascii="Verdana" w:hAnsi="Verdana"/>
          <w:sz w:val="18"/>
          <w:szCs w:val="18"/>
        </w:rPr>
        <w:t>n 53. maddesi uyarınca kamu görevi yapmaktan men edilmesi de istendi.</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Duruşma mütalaaya karşı tarafların savunma hazırlamaları amacıyla 14 Ocak 2015’e ertelendi.</w:t>
      </w:r>
    </w:p>
    <w:p w:rsidR="00051EB7" w:rsidRDefault="00051EB7" w:rsidP="00051EB7">
      <w:pPr>
        <w:spacing w:after="120" w:line="300" w:lineRule="atLeast"/>
        <w:ind w:firstLine="709"/>
        <w:jc w:val="both"/>
        <w:rPr>
          <w:rFonts w:ascii="Verdana" w:hAnsi="Verdana"/>
          <w:b/>
          <w:sz w:val="18"/>
          <w:szCs w:val="18"/>
        </w:rPr>
      </w:pPr>
      <w:r>
        <w:rPr>
          <w:rFonts w:ascii="Verdana" w:hAnsi="Verdana"/>
          <w:b/>
          <w:sz w:val="18"/>
          <w:szCs w:val="18"/>
        </w:rPr>
        <w:t>(11/178) Yolsuzluk Haberi Nedeniyle Yargılanan Muhabir…</w:t>
      </w:r>
    </w:p>
    <w:p w:rsidR="00051EB7" w:rsidRPr="006562FE" w:rsidRDefault="00051EB7" w:rsidP="00051EB7">
      <w:pPr>
        <w:spacing w:after="120" w:line="300" w:lineRule="atLeast"/>
        <w:ind w:firstLine="709"/>
        <w:jc w:val="both"/>
        <w:rPr>
          <w:rFonts w:ascii="Verdana" w:hAnsi="Verdana"/>
          <w:sz w:val="18"/>
          <w:szCs w:val="18"/>
        </w:rPr>
      </w:pPr>
      <w:r w:rsidRPr="006562FE">
        <w:rPr>
          <w:rFonts w:ascii="Verdana" w:hAnsi="Verdana"/>
          <w:sz w:val="18"/>
          <w:szCs w:val="18"/>
        </w:rPr>
        <w:t>Cumhuriyet Gazetesi’nin 13 Eylül 2014 tarihli nüshasında “</w:t>
      </w:r>
      <w:proofErr w:type="spellStart"/>
      <w:r w:rsidRPr="006562FE">
        <w:rPr>
          <w:rFonts w:ascii="Verdana" w:hAnsi="Verdana"/>
          <w:sz w:val="18"/>
          <w:szCs w:val="18"/>
        </w:rPr>
        <w:t>TÜRGEV’e</w:t>
      </w:r>
      <w:proofErr w:type="spellEnd"/>
      <w:r w:rsidRPr="006562FE">
        <w:rPr>
          <w:rFonts w:ascii="Verdana" w:hAnsi="Verdana"/>
          <w:sz w:val="18"/>
          <w:szCs w:val="18"/>
        </w:rPr>
        <w:t xml:space="preserve"> Hediye Konak” başlığıyla yolsuzluk ve rüşvet iddialarına yönelik bir haber yapan gazetenin muhabiri Canan Coşkun’un Cumhurbaşkanı Recep Tayyip Erdoğan’ın oğlu Bilal Erdoğan’ın şikâyeti sonucu “Soruşturmanın gizliliğini ihlal ettiği”, “iftirada bulunduğu” ve “hakaret ettiği” suçlamalarından yargılanmasına 27 Kasım 2014’te başlandı.</w:t>
      </w:r>
    </w:p>
    <w:p w:rsidR="00051EB7" w:rsidRPr="006562FE" w:rsidRDefault="00051EB7" w:rsidP="00051EB7">
      <w:pPr>
        <w:spacing w:after="120" w:line="300" w:lineRule="atLeast"/>
        <w:ind w:firstLine="709"/>
        <w:jc w:val="both"/>
        <w:rPr>
          <w:rFonts w:ascii="Verdana" w:hAnsi="Verdana"/>
          <w:sz w:val="18"/>
          <w:szCs w:val="18"/>
        </w:rPr>
      </w:pPr>
      <w:r w:rsidRPr="006562FE">
        <w:rPr>
          <w:rFonts w:ascii="Verdana" w:hAnsi="Verdana"/>
          <w:sz w:val="18"/>
          <w:szCs w:val="18"/>
        </w:rPr>
        <w:t>Çağlayan (İstanbul) 2. Asliye Ceza Mahkemesi’ndeki duruşmada 25 Aralık 2013’te düzenlenen operasyonun ardından hazırlanan rüşvet ve yolsuzluk soruşturmasına dair TÜRGEV fezlekesini haberleştiren Canan Coşkun’un savunmasını alan hâkim, savcının esas hakkındaki mütalaasını hazırlaması amacıyla duruşmayı 19 Şubat 2015’e erteledi.</w:t>
      </w:r>
    </w:p>
    <w:p w:rsidR="00051EB7" w:rsidRDefault="00051EB7" w:rsidP="00051EB7">
      <w:pPr>
        <w:spacing w:after="120" w:line="300" w:lineRule="atLeast"/>
        <w:ind w:firstLine="709"/>
        <w:jc w:val="both"/>
        <w:rPr>
          <w:rFonts w:ascii="Verdana" w:hAnsi="Verdana"/>
          <w:b/>
          <w:sz w:val="18"/>
          <w:szCs w:val="18"/>
        </w:rPr>
      </w:pPr>
      <w:r>
        <w:rPr>
          <w:rFonts w:ascii="Verdana" w:hAnsi="Verdana"/>
          <w:b/>
          <w:sz w:val="18"/>
          <w:szCs w:val="18"/>
        </w:rPr>
        <w:t>(11/179) 1 Mayıs Eyleminden Beraat Eden Kişiler…</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 xml:space="preserve">İstanbul’da </w:t>
      </w:r>
      <w:r w:rsidRPr="002C6B91">
        <w:rPr>
          <w:rFonts w:ascii="Verdana" w:hAnsi="Verdana"/>
          <w:sz w:val="18"/>
          <w:szCs w:val="18"/>
        </w:rPr>
        <w:t xml:space="preserve">1 Mayıs </w:t>
      </w:r>
      <w:r>
        <w:rPr>
          <w:rFonts w:ascii="Verdana" w:hAnsi="Verdana"/>
          <w:sz w:val="18"/>
          <w:szCs w:val="18"/>
        </w:rPr>
        <w:t>2014’te İşçi Bayramı dolayısıyla düzenlenen eyleme katılan ve polisin Beşiktaş’taki müdahalesi sonucu gözaltına alınan 9 kişi hakkında açılan dava 27 Kasım 2014’te sonuçlandı.</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w:t>
      </w:r>
      <w:r w:rsidRPr="002C6B91">
        <w:rPr>
          <w:rFonts w:ascii="Verdana" w:hAnsi="Verdana"/>
          <w:sz w:val="18"/>
          <w:szCs w:val="18"/>
        </w:rPr>
        <w:t xml:space="preserve">2911 Sayılı Toplantı ve Gösteri Yürüyüşleri </w:t>
      </w:r>
      <w:r>
        <w:rPr>
          <w:rFonts w:ascii="Verdana" w:hAnsi="Verdana"/>
          <w:sz w:val="18"/>
          <w:szCs w:val="18"/>
        </w:rPr>
        <w:t>Yasası’na</w:t>
      </w:r>
      <w:r w:rsidRPr="002C6B91">
        <w:rPr>
          <w:rFonts w:ascii="Verdana" w:hAnsi="Verdana"/>
          <w:sz w:val="18"/>
          <w:szCs w:val="18"/>
        </w:rPr>
        <w:t xml:space="preserve"> muhalefet</w:t>
      </w:r>
      <w:r>
        <w:rPr>
          <w:rFonts w:ascii="Verdana" w:hAnsi="Verdana"/>
          <w:sz w:val="18"/>
          <w:szCs w:val="18"/>
        </w:rPr>
        <w:t xml:space="preserve"> </w:t>
      </w:r>
      <w:proofErr w:type="spellStart"/>
      <w:r>
        <w:rPr>
          <w:rFonts w:ascii="Verdana" w:hAnsi="Verdana"/>
          <w:sz w:val="18"/>
          <w:szCs w:val="18"/>
        </w:rPr>
        <w:t>etmek”</w:t>
      </w:r>
      <w:r w:rsidRPr="002C6B91">
        <w:rPr>
          <w:rFonts w:ascii="Verdana" w:hAnsi="Verdana"/>
          <w:sz w:val="18"/>
          <w:szCs w:val="18"/>
        </w:rPr>
        <w:t>ten</w:t>
      </w:r>
      <w:proofErr w:type="spellEnd"/>
      <w:r w:rsidRPr="002C6B91">
        <w:rPr>
          <w:rFonts w:ascii="Verdana" w:hAnsi="Verdana"/>
          <w:sz w:val="18"/>
          <w:szCs w:val="18"/>
        </w:rPr>
        <w:t xml:space="preserve"> yargılanan dokuz kişi</w:t>
      </w:r>
      <w:r>
        <w:rPr>
          <w:rFonts w:ascii="Verdana" w:hAnsi="Verdana"/>
          <w:sz w:val="18"/>
          <w:szCs w:val="18"/>
        </w:rPr>
        <w:t>nin</w:t>
      </w:r>
      <w:r w:rsidRPr="002C6B91">
        <w:rPr>
          <w:rFonts w:ascii="Verdana" w:hAnsi="Verdana"/>
          <w:sz w:val="18"/>
          <w:szCs w:val="18"/>
        </w:rPr>
        <w:t xml:space="preserve"> </w:t>
      </w:r>
      <w:r>
        <w:rPr>
          <w:rFonts w:ascii="Verdana" w:hAnsi="Verdana"/>
          <w:sz w:val="18"/>
          <w:szCs w:val="18"/>
        </w:rPr>
        <w:t>Çağlayan</w:t>
      </w:r>
      <w:r w:rsidRPr="002C6B91">
        <w:rPr>
          <w:rFonts w:ascii="Verdana" w:hAnsi="Verdana"/>
          <w:sz w:val="18"/>
          <w:szCs w:val="18"/>
        </w:rPr>
        <w:t xml:space="preserve"> 42. Asliye Ceza Mahkemesi’ndeki </w:t>
      </w:r>
      <w:r>
        <w:rPr>
          <w:rFonts w:ascii="Verdana" w:hAnsi="Verdana"/>
          <w:sz w:val="18"/>
          <w:szCs w:val="18"/>
        </w:rPr>
        <w:t>duruşmasında hâkim, sanıkların savunmasını aldı.</w:t>
      </w:r>
    </w:p>
    <w:p w:rsidR="00051EB7" w:rsidRPr="002C6B91" w:rsidRDefault="00051EB7" w:rsidP="00051EB7">
      <w:pPr>
        <w:spacing w:after="120" w:line="300" w:lineRule="atLeast"/>
        <w:ind w:firstLine="709"/>
        <w:jc w:val="both"/>
        <w:rPr>
          <w:rFonts w:ascii="Verdana" w:hAnsi="Verdana"/>
          <w:sz w:val="18"/>
          <w:szCs w:val="18"/>
        </w:rPr>
      </w:pPr>
      <w:r>
        <w:rPr>
          <w:rFonts w:ascii="Verdana" w:hAnsi="Verdana"/>
          <w:sz w:val="18"/>
          <w:szCs w:val="18"/>
        </w:rPr>
        <w:t xml:space="preserve">Yargılama sonunda hâkim, </w:t>
      </w:r>
      <w:r w:rsidRPr="002C6B91">
        <w:rPr>
          <w:rFonts w:ascii="Verdana" w:hAnsi="Verdana"/>
          <w:sz w:val="18"/>
          <w:szCs w:val="18"/>
        </w:rPr>
        <w:t>delil</w:t>
      </w:r>
      <w:r>
        <w:rPr>
          <w:rFonts w:ascii="Verdana" w:hAnsi="Verdana"/>
          <w:sz w:val="18"/>
          <w:szCs w:val="18"/>
        </w:rPr>
        <w:t xml:space="preserve"> olarak sunulan b</w:t>
      </w:r>
      <w:r w:rsidRPr="002C6B91">
        <w:rPr>
          <w:rFonts w:ascii="Verdana" w:hAnsi="Verdana"/>
          <w:sz w:val="18"/>
          <w:szCs w:val="18"/>
        </w:rPr>
        <w:t>aret, gaz maskesi, solüsyon, sirke, deniz gözlüğü, filtreli maske, inşaat eldiveni, kırmızı peçe, taş, kâğıt maske</w:t>
      </w:r>
      <w:r>
        <w:rPr>
          <w:rFonts w:ascii="Verdana" w:hAnsi="Verdana"/>
          <w:sz w:val="18"/>
          <w:szCs w:val="18"/>
        </w:rPr>
        <w:t xml:space="preserve"> taşımanın </w:t>
      </w:r>
      <w:r w:rsidRPr="002C6B91">
        <w:rPr>
          <w:rFonts w:ascii="Verdana" w:hAnsi="Verdana"/>
          <w:sz w:val="18"/>
          <w:szCs w:val="18"/>
        </w:rPr>
        <w:t>sanıklara isnat edilen suçun unsurları oluş</w:t>
      </w:r>
      <w:r>
        <w:rPr>
          <w:rFonts w:ascii="Verdana" w:hAnsi="Verdana"/>
          <w:sz w:val="18"/>
          <w:szCs w:val="18"/>
        </w:rPr>
        <w:t xml:space="preserve">turmadığını belirterek </w:t>
      </w:r>
      <w:r w:rsidRPr="002C6B91">
        <w:rPr>
          <w:rFonts w:ascii="Verdana" w:hAnsi="Verdana"/>
          <w:sz w:val="18"/>
          <w:szCs w:val="18"/>
        </w:rPr>
        <w:t xml:space="preserve">sanıklar Ahmet Baba, Deniz Edebali, Doğa Özer, Fettah </w:t>
      </w:r>
      <w:proofErr w:type="gramStart"/>
      <w:r w:rsidRPr="002C6B91">
        <w:rPr>
          <w:rFonts w:ascii="Verdana" w:hAnsi="Verdana"/>
          <w:sz w:val="18"/>
          <w:szCs w:val="18"/>
        </w:rPr>
        <w:t>Alim</w:t>
      </w:r>
      <w:proofErr w:type="gramEnd"/>
      <w:r w:rsidRPr="002C6B91">
        <w:rPr>
          <w:rFonts w:ascii="Verdana" w:hAnsi="Verdana"/>
          <w:sz w:val="18"/>
          <w:szCs w:val="18"/>
        </w:rPr>
        <w:t xml:space="preserve">, İbrahim Doğan, Kenan Çorlu, Levent </w:t>
      </w:r>
      <w:proofErr w:type="spellStart"/>
      <w:r w:rsidRPr="002C6B91">
        <w:rPr>
          <w:rFonts w:ascii="Verdana" w:hAnsi="Verdana"/>
          <w:sz w:val="18"/>
          <w:szCs w:val="18"/>
        </w:rPr>
        <w:t>İncedere</w:t>
      </w:r>
      <w:proofErr w:type="spellEnd"/>
      <w:r w:rsidRPr="002C6B91">
        <w:rPr>
          <w:rFonts w:ascii="Verdana" w:hAnsi="Verdana"/>
          <w:sz w:val="18"/>
          <w:szCs w:val="18"/>
        </w:rPr>
        <w:t>, Özkan Akçay ve Uğur Öztürk’ün beraatına karar verdiğini açıkladı.</w:t>
      </w:r>
    </w:p>
    <w:p w:rsidR="00051EB7" w:rsidRDefault="00051EB7" w:rsidP="00051EB7">
      <w:pPr>
        <w:spacing w:after="120" w:line="300" w:lineRule="atLeast"/>
        <w:ind w:firstLine="709"/>
        <w:jc w:val="both"/>
        <w:rPr>
          <w:rFonts w:ascii="Verdana" w:hAnsi="Verdana"/>
          <w:b/>
          <w:sz w:val="18"/>
          <w:szCs w:val="18"/>
        </w:rPr>
      </w:pPr>
      <w:r>
        <w:rPr>
          <w:rFonts w:ascii="Verdana" w:hAnsi="Verdana"/>
          <w:b/>
          <w:sz w:val="18"/>
          <w:szCs w:val="18"/>
        </w:rPr>
        <w:t>(11/180) Ankara’da Dikmen Vadisi Eylemine Müdahale…</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lastRenderedPageBreak/>
        <w:t>Ankara Büyükşehir Belediyesi’</w:t>
      </w:r>
      <w:r w:rsidRPr="002C6B91">
        <w:rPr>
          <w:rFonts w:ascii="Verdana" w:hAnsi="Verdana"/>
          <w:sz w:val="18"/>
          <w:szCs w:val="18"/>
        </w:rPr>
        <w:t xml:space="preserve">nin </w:t>
      </w:r>
      <w:r>
        <w:rPr>
          <w:rFonts w:ascii="Verdana" w:hAnsi="Verdana"/>
          <w:sz w:val="18"/>
          <w:szCs w:val="18"/>
        </w:rPr>
        <w:t>Dikmen Vadisi’nin şirketlere satışı için 27 Kasım 2014’te başlattığı ihale sürecini belediye binası önünde toplanarak protesto eden Dikmen Vadisi halkına biber gazıyla müdahale eden polis ekipleri 7 kişiyi gözaltına aldı. Protesto nedeniyle ihalenin ertelendiği bildirildi.</w:t>
      </w:r>
    </w:p>
    <w:p w:rsidR="00051EB7" w:rsidRPr="005D2949" w:rsidRDefault="00051EB7" w:rsidP="00051EB7">
      <w:pPr>
        <w:spacing w:after="120" w:line="300" w:lineRule="atLeast"/>
        <w:ind w:firstLine="709"/>
        <w:jc w:val="both"/>
        <w:rPr>
          <w:rFonts w:ascii="Verdana" w:hAnsi="Verdana"/>
          <w:b/>
          <w:sz w:val="18"/>
          <w:szCs w:val="18"/>
        </w:rPr>
      </w:pPr>
      <w:r>
        <w:rPr>
          <w:rFonts w:ascii="Verdana" w:hAnsi="Verdana"/>
          <w:b/>
          <w:sz w:val="18"/>
          <w:szCs w:val="18"/>
        </w:rPr>
        <w:t xml:space="preserve">(11/181) </w:t>
      </w:r>
      <w:proofErr w:type="spellStart"/>
      <w:r w:rsidRPr="005D2949">
        <w:rPr>
          <w:rFonts w:ascii="Verdana" w:hAnsi="Verdana"/>
          <w:b/>
          <w:sz w:val="18"/>
          <w:szCs w:val="18"/>
        </w:rPr>
        <w:t>Kobanê</w:t>
      </w:r>
      <w:proofErr w:type="spellEnd"/>
      <w:r w:rsidRPr="005D2949">
        <w:rPr>
          <w:rFonts w:ascii="Verdana" w:hAnsi="Verdana"/>
          <w:b/>
          <w:sz w:val="18"/>
          <w:szCs w:val="18"/>
        </w:rPr>
        <w:t xml:space="preserve"> Eylemlerine Yönelik Operasyonlar…</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 xml:space="preserve">Van’ın Muradiye İlçesi’ndeki gösterilere katıldıkları gerekçesiyle haklarında yakalama kararı çıkarılan </w:t>
      </w:r>
      <w:r w:rsidRPr="002C6B91">
        <w:rPr>
          <w:rFonts w:ascii="Verdana" w:hAnsi="Verdana"/>
          <w:sz w:val="18"/>
          <w:szCs w:val="18"/>
        </w:rPr>
        <w:t>Yavuz Gezer ile Fehmi Arslan</w:t>
      </w:r>
      <w:r>
        <w:rPr>
          <w:rFonts w:ascii="Verdana" w:hAnsi="Verdana"/>
          <w:sz w:val="18"/>
          <w:szCs w:val="18"/>
        </w:rPr>
        <w:t xml:space="preserve"> 27 Kasım 2014’te gözaltına alındı.</w:t>
      </w:r>
    </w:p>
    <w:p w:rsidR="00051EB7" w:rsidRPr="002C6B91" w:rsidRDefault="00051EB7" w:rsidP="00051EB7">
      <w:pPr>
        <w:spacing w:after="120" w:line="300" w:lineRule="atLeast"/>
        <w:ind w:firstLine="709"/>
        <w:jc w:val="both"/>
        <w:rPr>
          <w:rFonts w:ascii="Verdana" w:hAnsi="Verdana"/>
          <w:sz w:val="18"/>
          <w:szCs w:val="18"/>
        </w:rPr>
      </w:pPr>
      <w:r>
        <w:rPr>
          <w:rFonts w:ascii="Verdana" w:hAnsi="Verdana"/>
          <w:b/>
          <w:sz w:val="18"/>
          <w:szCs w:val="18"/>
        </w:rPr>
        <w:t>(11/182) Gezi Parkı Eylemleri Nedeniyle Yargılanan Kişiler…</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Manisa’</w:t>
      </w:r>
      <w:r w:rsidRPr="002C6B91">
        <w:rPr>
          <w:rFonts w:ascii="Verdana" w:hAnsi="Verdana"/>
          <w:sz w:val="18"/>
          <w:szCs w:val="18"/>
        </w:rPr>
        <w:t>nın Akhisar İlçesi</w:t>
      </w:r>
      <w:r>
        <w:rPr>
          <w:rFonts w:ascii="Verdana" w:hAnsi="Verdana"/>
          <w:sz w:val="18"/>
          <w:szCs w:val="18"/>
        </w:rPr>
        <w:t>’</w:t>
      </w:r>
      <w:r w:rsidRPr="002C6B91">
        <w:rPr>
          <w:rFonts w:ascii="Verdana" w:hAnsi="Verdana"/>
          <w:sz w:val="18"/>
          <w:szCs w:val="18"/>
        </w:rPr>
        <w:t>nde Gezi Parkı eylemleri</w:t>
      </w:r>
      <w:r>
        <w:rPr>
          <w:rFonts w:ascii="Verdana" w:hAnsi="Verdana"/>
          <w:sz w:val="18"/>
          <w:szCs w:val="18"/>
        </w:rPr>
        <w:t xml:space="preserve"> nedeniyle 2 Haziran 2013’te düzenlenen protesto gösterisinde </w:t>
      </w:r>
      <w:r w:rsidRPr="002C6B91">
        <w:rPr>
          <w:rFonts w:ascii="Verdana" w:hAnsi="Verdana"/>
          <w:sz w:val="18"/>
          <w:szCs w:val="18"/>
        </w:rPr>
        <w:t>dönemin Başbakanı Recep Tayyip Erdoğan</w:t>
      </w:r>
      <w:r>
        <w:rPr>
          <w:rFonts w:ascii="Verdana" w:hAnsi="Verdana"/>
          <w:sz w:val="18"/>
          <w:szCs w:val="18"/>
        </w:rPr>
        <w:t>’</w:t>
      </w:r>
      <w:r w:rsidRPr="002C6B91">
        <w:rPr>
          <w:rFonts w:ascii="Verdana" w:hAnsi="Verdana"/>
          <w:sz w:val="18"/>
          <w:szCs w:val="18"/>
        </w:rPr>
        <w:t>a hakaret ettikleri iddiasıyla 83</w:t>
      </w:r>
      <w:r>
        <w:rPr>
          <w:rFonts w:ascii="Verdana" w:hAnsi="Verdana"/>
          <w:sz w:val="18"/>
          <w:szCs w:val="18"/>
        </w:rPr>
        <w:t xml:space="preserve"> kişi hakkında açılan davaya 27 Kasım 2014’te başlandı.</w:t>
      </w:r>
    </w:p>
    <w:p w:rsidR="00051EB7" w:rsidRDefault="00051EB7" w:rsidP="00051EB7">
      <w:pPr>
        <w:spacing w:after="120" w:line="300" w:lineRule="atLeast"/>
        <w:ind w:firstLine="709"/>
        <w:jc w:val="both"/>
        <w:rPr>
          <w:rFonts w:ascii="Verdana" w:hAnsi="Verdana"/>
          <w:sz w:val="18"/>
          <w:szCs w:val="18"/>
        </w:rPr>
      </w:pPr>
      <w:r>
        <w:rPr>
          <w:rFonts w:ascii="Verdana" w:hAnsi="Verdana"/>
          <w:sz w:val="18"/>
          <w:szCs w:val="18"/>
        </w:rPr>
        <w:t>“Kamu görevlisine görevinden dolayı hakaret ettikleri” suçlamasıyla TCK’nin 125. maddesi uyarınca yargılanan 83 sanığın Akhisar 2. Asliye Ceza Mahkemesi’</w:t>
      </w:r>
      <w:r w:rsidRPr="002C6B91">
        <w:rPr>
          <w:rFonts w:ascii="Verdana" w:hAnsi="Verdana"/>
          <w:sz w:val="18"/>
          <w:szCs w:val="18"/>
        </w:rPr>
        <w:t xml:space="preserve">nde </w:t>
      </w:r>
      <w:r>
        <w:rPr>
          <w:rFonts w:ascii="Verdana" w:hAnsi="Verdana"/>
          <w:sz w:val="18"/>
          <w:szCs w:val="18"/>
        </w:rPr>
        <w:t>görülen duruşmasında sanıkların kimlik tespitini yapan ve ifadelerini alan hâkim, duruşmayı dosyadaki eksikliklerin tamamlanması amacıyla erteledi.</w:t>
      </w:r>
    </w:p>
    <w:p w:rsidR="00051EB7" w:rsidRPr="004279A1" w:rsidRDefault="00051EB7" w:rsidP="00051EB7">
      <w:pPr>
        <w:spacing w:after="120" w:line="300" w:lineRule="atLeast"/>
        <w:ind w:firstLine="709"/>
        <w:jc w:val="both"/>
        <w:rPr>
          <w:rFonts w:ascii="Verdana" w:hAnsi="Verdana"/>
          <w:b/>
          <w:sz w:val="18"/>
          <w:szCs w:val="18"/>
        </w:rPr>
      </w:pPr>
      <w:r>
        <w:rPr>
          <w:rFonts w:ascii="Verdana" w:hAnsi="Verdana"/>
          <w:b/>
          <w:sz w:val="18"/>
          <w:szCs w:val="18"/>
        </w:rPr>
        <w:t xml:space="preserve">(11/183) </w:t>
      </w:r>
      <w:proofErr w:type="spellStart"/>
      <w:r w:rsidRPr="004279A1">
        <w:rPr>
          <w:rFonts w:ascii="Verdana" w:hAnsi="Verdana"/>
          <w:b/>
          <w:sz w:val="18"/>
          <w:szCs w:val="18"/>
        </w:rPr>
        <w:t>Kobanê</w:t>
      </w:r>
      <w:proofErr w:type="spellEnd"/>
      <w:r w:rsidRPr="004279A1">
        <w:rPr>
          <w:rFonts w:ascii="Verdana" w:hAnsi="Verdana"/>
          <w:b/>
          <w:sz w:val="18"/>
          <w:szCs w:val="18"/>
        </w:rPr>
        <w:t xml:space="preserve"> Eylemlerinden Yargılanan Kişiler…</w:t>
      </w:r>
    </w:p>
    <w:p w:rsidR="00051EB7" w:rsidRPr="004279A1" w:rsidRDefault="00051EB7" w:rsidP="00051EB7">
      <w:pPr>
        <w:spacing w:after="120" w:line="300" w:lineRule="atLeast"/>
        <w:ind w:firstLine="709"/>
        <w:jc w:val="both"/>
        <w:rPr>
          <w:rFonts w:ascii="Verdana" w:hAnsi="Verdana"/>
          <w:sz w:val="18"/>
          <w:szCs w:val="18"/>
        </w:rPr>
      </w:pPr>
      <w:r>
        <w:rPr>
          <w:rFonts w:ascii="Verdana" w:hAnsi="Verdana"/>
          <w:sz w:val="18"/>
          <w:szCs w:val="18"/>
        </w:rPr>
        <w:t>Diyarbakır’da</w:t>
      </w:r>
      <w:r w:rsidRPr="004279A1">
        <w:rPr>
          <w:rFonts w:ascii="Verdana" w:hAnsi="Verdana"/>
          <w:sz w:val="18"/>
          <w:szCs w:val="18"/>
        </w:rPr>
        <w:t xml:space="preserve"> 7 Ekim 2014’te </w:t>
      </w:r>
      <w:proofErr w:type="spellStart"/>
      <w:r w:rsidRPr="004279A1">
        <w:rPr>
          <w:rFonts w:ascii="Verdana" w:hAnsi="Verdana"/>
          <w:sz w:val="18"/>
          <w:szCs w:val="18"/>
        </w:rPr>
        <w:t>Kobanê’ye</w:t>
      </w:r>
      <w:proofErr w:type="spellEnd"/>
      <w:r w:rsidRPr="004279A1">
        <w:rPr>
          <w:rFonts w:ascii="Verdana" w:hAnsi="Verdana"/>
          <w:sz w:val="18"/>
          <w:szCs w:val="18"/>
        </w:rPr>
        <w:t xml:space="preserve"> yönelik IŞİD saldırılarını protesto etmek amacıyla düzenlenen </w:t>
      </w:r>
      <w:r>
        <w:rPr>
          <w:rFonts w:ascii="Verdana" w:hAnsi="Verdana"/>
          <w:sz w:val="18"/>
          <w:szCs w:val="18"/>
        </w:rPr>
        <w:t xml:space="preserve">ve 14 kişinin yaşamını yitirmesiyle sonuçlanan </w:t>
      </w:r>
      <w:r w:rsidRPr="004279A1">
        <w:rPr>
          <w:rFonts w:ascii="Verdana" w:hAnsi="Verdana"/>
          <w:sz w:val="18"/>
          <w:szCs w:val="18"/>
        </w:rPr>
        <w:t>eylem</w:t>
      </w:r>
      <w:r>
        <w:rPr>
          <w:rFonts w:ascii="Verdana" w:hAnsi="Verdana"/>
          <w:sz w:val="18"/>
          <w:szCs w:val="18"/>
        </w:rPr>
        <w:t>ler</w:t>
      </w:r>
      <w:r w:rsidRPr="004279A1">
        <w:rPr>
          <w:rFonts w:ascii="Verdana" w:hAnsi="Verdana"/>
          <w:sz w:val="18"/>
          <w:szCs w:val="18"/>
        </w:rPr>
        <w:t xml:space="preserve">de yer aldıkları gerekçesiyle tutuklu </w:t>
      </w:r>
      <w:r>
        <w:rPr>
          <w:rFonts w:ascii="Verdana" w:hAnsi="Verdana"/>
          <w:sz w:val="18"/>
          <w:szCs w:val="18"/>
        </w:rPr>
        <w:t>27 kişi</w:t>
      </w:r>
      <w:r w:rsidRPr="004279A1">
        <w:rPr>
          <w:rFonts w:ascii="Verdana" w:hAnsi="Verdana"/>
          <w:sz w:val="18"/>
          <w:szCs w:val="18"/>
        </w:rPr>
        <w:t xml:space="preserve"> hakkında iddianame hazırlandığı 2</w:t>
      </w:r>
      <w:r>
        <w:rPr>
          <w:rFonts w:ascii="Verdana" w:hAnsi="Verdana"/>
          <w:sz w:val="18"/>
          <w:szCs w:val="18"/>
        </w:rPr>
        <w:t>7</w:t>
      </w:r>
      <w:r w:rsidRPr="004279A1">
        <w:rPr>
          <w:rFonts w:ascii="Verdana" w:hAnsi="Verdana"/>
          <w:sz w:val="18"/>
          <w:szCs w:val="18"/>
        </w:rPr>
        <w:t xml:space="preserve"> Kasım 2014’te öğrenildi.</w:t>
      </w:r>
    </w:p>
    <w:p w:rsidR="00051EB7" w:rsidRPr="004279A1" w:rsidRDefault="00051EB7" w:rsidP="00051EB7">
      <w:pPr>
        <w:spacing w:after="120" w:line="300" w:lineRule="atLeast"/>
        <w:ind w:firstLine="709"/>
        <w:jc w:val="both"/>
        <w:rPr>
          <w:rFonts w:ascii="Verdana" w:hAnsi="Verdana"/>
          <w:sz w:val="18"/>
          <w:szCs w:val="18"/>
        </w:rPr>
      </w:pPr>
      <w:r>
        <w:rPr>
          <w:rFonts w:ascii="Verdana" w:hAnsi="Verdana"/>
          <w:sz w:val="18"/>
          <w:szCs w:val="18"/>
        </w:rPr>
        <w:t xml:space="preserve">Diyarbakır </w:t>
      </w:r>
      <w:r w:rsidRPr="004279A1">
        <w:rPr>
          <w:rFonts w:ascii="Verdana" w:hAnsi="Verdana"/>
          <w:sz w:val="18"/>
          <w:szCs w:val="18"/>
        </w:rPr>
        <w:t>Cumhuriyet Başsavcılığı’nca hazırlanan iddianamede 2</w:t>
      </w:r>
      <w:r>
        <w:rPr>
          <w:rFonts w:ascii="Verdana" w:hAnsi="Verdana"/>
          <w:sz w:val="18"/>
          <w:szCs w:val="18"/>
        </w:rPr>
        <w:t>7</w:t>
      </w:r>
      <w:r w:rsidRPr="004279A1">
        <w:rPr>
          <w:rFonts w:ascii="Verdana" w:hAnsi="Verdana"/>
          <w:sz w:val="18"/>
          <w:szCs w:val="18"/>
        </w:rPr>
        <w:t xml:space="preserve"> kişi hakkında “</w:t>
      </w:r>
      <w:r>
        <w:rPr>
          <w:rFonts w:ascii="Verdana" w:hAnsi="Verdana"/>
          <w:sz w:val="18"/>
          <w:szCs w:val="18"/>
        </w:rPr>
        <w:t xml:space="preserve">yasadışı örgüt üyesi olmamakla birlikte yasadışı örgüt adına suç işledikleri”, “yasadışı örgüt </w:t>
      </w:r>
      <w:r w:rsidRPr="004279A1">
        <w:rPr>
          <w:rFonts w:ascii="Verdana" w:hAnsi="Verdana"/>
          <w:sz w:val="18"/>
          <w:szCs w:val="18"/>
        </w:rPr>
        <w:t>propagandası yaptıkları”, “2911 sayılı Toplantı ve Gösteri Yürüyüşleri Yasası’na aykırı davrandıkları”</w:t>
      </w:r>
      <w:r>
        <w:rPr>
          <w:rFonts w:ascii="Verdana" w:hAnsi="Verdana"/>
          <w:sz w:val="18"/>
          <w:szCs w:val="18"/>
        </w:rPr>
        <w:t>, “polise direndikleri” ve “ulaşım araçlarının hareketine engel oldukları”</w:t>
      </w:r>
      <w:r w:rsidRPr="004279A1">
        <w:rPr>
          <w:rFonts w:ascii="Verdana" w:hAnsi="Verdana"/>
          <w:sz w:val="18"/>
          <w:szCs w:val="18"/>
        </w:rPr>
        <w:t xml:space="preserve"> suçlamalarından </w:t>
      </w:r>
      <w:r>
        <w:rPr>
          <w:rFonts w:ascii="Verdana" w:hAnsi="Verdana"/>
          <w:sz w:val="18"/>
          <w:szCs w:val="18"/>
        </w:rPr>
        <w:t>32</w:t>
      </w:r>
      <w:r w:rsidRPr="004279A1">
        <w:rPr>
          <w:rFonts w:ascii="Verdana" w:hAnsi="Verdana"/>
          <w:sz w:val="18"/>
          <w:szCs w:val="18"/>
        </w:rPr>
        <w:t>’er yıla kadar hapis cezası talep edildi.</w:t>
      </w:r>
    </w:p>
    <w:p w:rsidR="00051EB7" w:rsidRPr="004279A1" w:rsidRDefault="00051EB7" w:rsidP="00051EB7">
      <w:pPr>
        <w:spacing w:after="120" w:line="300" w:lineRule="atLeast"/>
        <w:ind w:firstLine="709"/>
        <w:jc w:val="both"/>
        <w:rPr>
          <w:rFonts w:ascii="Verdana" w:hAnsi="Verdana"/>
          <w:sz w:val="18"/>
          <w:szCs w:val="18"/>
        </w:rPr>
      </w:pPr>
      <w:r w:rsidRPr="004279A1">
        <w:rPr>
          <w:rFonts w:ascii="Verdana" w:hAnsi="Verdana"/>
          <w:sz w:val="18"/>
          <w:szCs w:val="18"/>
        </w:rPr>
        <w:t>İddianame</w:t>
      </w:r>
      <w:r>
        <w:rPr>
          <w:rFonts w:ascii="Verdana" w:hAnsi="Verdana"/>
          <w:sz w:val="18"/>
          <w:szCs w:val="18"/>
        </w:rPr>
        <w:t>nin ilgili ağır ceza mahkemesince kabul edilmesi halinde yargılamaya</w:t>
      </w:r>
      <w:r w:rsidRPr="004279A1">
        <w:rPr>
          <w:rFonts w:ascii="Verdana" w:hAnsi="Verdana"/>
          <w:sz w:val="18"/>
          <w:szCs w:val="18"/>
        </w:rPr>
        <w:t xml:space="preserve"> önümüzdeki günlerde başlanacak. </w:t>
      </w:r>
    </w:p>
    <w:p w:rsidR="00051EB7" w:rsidRPr="001F0F10" w:rsidRDefault="00051EB7" w:rsidP="00051EB7">
      <w:pPr>
        <w:spacing w:after="120" w:line="300" w:lineRule="atLeast"/>
        <w:ind w:firstLine="709"/>
        <w:jc w:val="both"/>
        <w:rPr>
          <w:rFonts w:ascii="Verdana" w:hAnsi="Verdana"/>
          <w:b/>
          <w:sz w:val="18"/>
          <w:szCs w:val="18"/>
        </w:rPr>
      </w:pPr>
      <w:r>
        <w:rPr>
          <w:rFonts w:ascii="Verdana" w:hAnsi="Verdana"/>
          <w:b/>
          <w:sz w:val="18"/>
          <w:szCs w:val="18"/>
        </w:rPr>
        <w:t>(11/184) Van’da</w:t>
      </w:r>
      <w:r w:rsidRPr="001F0F10">
        <w:rPr>
          <w:rFonts w:ascii="Verdana" w:hAnsi="Verdana"/>
          <w:b/>
          <w:sz w:val="18"/>
          <w:szCs w:val="18"/>
        </w:rPr>
        <w:t xml:space="preserve"> </w:t>
      </w:r>
      <w:r>
        <w:rPr>
          <w:rFonts w:ascii="Verdana" w:hAnsi="Verdana"/>
          <w:b/>
          <w:sz w:val="18"/>
          <w:szCs w:val="18"/>
        </w:rPr>
        <w:t>Gözaltına Alınan Öğrenciler</w:t>
      </w:r>
      <w:r w:rsidRPr="001F0F10">
        <w:rPr>
          <w:rFonts w:ascii="Verdana" w:hAnsi="Verdana"/>
          <w:b/>
          <w:sz w:val="18"/>
          <w:szCs w:val="18"/>
        </w:rPr>
        <w:t>…</w:t>
      </w:r>
    </w:p>
    <w:p w:rsidR="00051EB7" w:rsidRPr="00051EB7" w:rsidRDefault="00051EB7" w:rsidP="00051EB7">
      <w:pPr>
        <w:spacing w:after="120" w:line="300" w:lineRule="atLeast"/>
        <w:ind w:firstLine="709"/>
        <w:jc w:val="both"/>
        <w:rPr>
          <w:rFonts w:ascii="Verdana" w:hAnsi="Verdana"/>
          <w:sz w:val="18"/>
          <w:szCs w:val="18"/>
        </w:rPr>
      </w:pPr>
      <w:r w:rsidRPr="00A57E05">
        <w:rPr>
          <w:rFonts w:ascii="Verdana" w:hAnsi="Verdana"/>
          <w:sz w:val="18"/>
          <w:szCs w:val="18"/>
        </w:rPr>
        <w:t>Van’da 27 Kasım 2014’te Yüzüncü Yıl Üniversitesi’nde PKK’nin 36. kuruluş yıldönümünü kutlamak için yapılmak istenen yürüyüş öncesinde üniversite girişinde kimlik kontrolü yapan polis 2 öğrenciyi darp ederek gözaltına aldı.</w:t>
      </w:r>
      <w:bookmarkEnd w:id="0"/>
    </w:p>
    <w:sectPr w:rsidR="00051EB7" w:rsidRPr="00051E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BB" w:rsidRDefault="008929BB">
      <w:r>
        <w:separator/>
      </w:r>
    </w:p>
  </w:endnote>
  <w:endnote w:type="continuationSeparator" w:id="0">
    <w:p w:rsidR="008929BB" w:rsidRDefault="008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BB" w:rsidRDefault="008929BB">
      <w:r>
        <w:separator/>
      </w:r>
    </w:p>
  </w:footnote>
  <w:footnote w:type="continuationSeparator" w:id="0">
    <w:p w:rsidR="008929BB" w:rsidRDefault="008929B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51EB7" w:rsidRPr="00051EB7">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51EB7"/>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29BB"/>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4C44-5CED-48A8-A740-0E35080C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2014-11-28T10:41:00Z</dcterms:created>
  <dcterms:modified xsi:type="dcterms:W3CDTF">2014-11-28T10:41:00Z</dcterms:modified>
</cp:coreProperties>
</file>