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BF0B" w14:textId="77777777" w:rsidR="005942BD" w:rsidRDefault="005942BD" w:rsidP="008F0387">
      <w:pPr>
        <w:pStyle w:val="NoSpacing"/>
        <w:jc w:val="both"/>
        <w:rPr>
          <w:rFonts w:ascii="Times New Roman" w:hAnsi="Times New Roman" w:cs="Times New Roman"/>
        </w:rPr>
      </w:pPr>
    </w:p>
    <w:p w14:paraId="52EDEB6F" w14:textId="35795A58" w:rsidR="001372AC" w:rsidRPr="001372AC" w:rsidRDefault="001372AC" w:rsidP="008F0387">
      <w:pPr>
        <w:spacing w:before="100" w:beforeAutospacing="1" w:after="100" w:afterAutospacing="1"/>
        <w:jc w:val="both"/>
        <w:outlineLvl w:val="0"/>
        <w:rPr>
          <w:b/>
          <w:bCs/>
          <w:color w:val="000000"/>
          <w:kern w:val="36"/>
          <w:sz w:val="40"/>
          <w:szCs w:val="40"/>
        </w:rPr>
      </w:pPr>
      <w:r w:rsidRPr="001372AC">
        <w:rPr>
          <w:b/>
          <w:bCs/>
          <w:color w:val="000000"/>
          <w:kern w:val="36"/>
          <w:sz w:val="40"/>
          <w:szCs w:val="40"/>
        </w:rPr>
        <w:t xml:space="preserve">TİHV ve İHD Ortak </w:t>
      </w:r>
      <w:r w:rsidR="00644F6D">
        <w:rPr>
          <w:b/>
          <w:bCs/>
          <w:color w:val="000000"/>
          <w:kern w:val="36"/>
          <w:sz w:val="40"/>
          <w:szCs w:val="40"/>
        </w:rPr>
        <w:t>Bilgi Notu</w:t>
      </w:r>
      <w:r w:rsidRPr="001372AC">
        <w:rPr>
          <w:b/>
          <w:bCs/>
          <w:color w:val="000000"/>
          <w:kern w:val="36"/>
          <w:sz w:val="40"/>
          <w:szCs w:val="40"/>
        </w:rPr>
        <w:t>: Mültecilere Yönelik İşkence ve Hak İhlallerine Son!</w:t>
      </w:r>
    </w:p>
    <w:p w14:paraId="523320AC" w14:textId="26594961" w:rsidR="00983535" w:rsidRDefault="001372AC" w:rsidP="008F0387">
      <w:pPr>
        <w:spacing w:before="100" w:beforeAutospacing="1" w:after="100" w:afterAutospacing="1"/>
        <w:jc w:val="both"/>
        <w:rPr>
          <w:color w:val="000000"/>
        </w:rPr>
      </w:pPr>
      <w:r w:rsidRPr="001372AC">
        <w:rPr>
          <w:color w:val="000000"/>
        </w:rPr>
        <w:t xml:space="preserve">Türkiye, savaş, işkence ve ağır insan hakları ihlalleri nedeniyle </w:t>
      </w:r>
      <w:r w:rsidR="00ED3A1C">
        <w:rPr>
          <w:color w:val="000000"/>
        </w:rPr>
        <w:t>ülkelerini</w:t>
      </w:r>
      <w:r w:rsidRPr="001372AC">
        <w:rPr>
          <w:color w:val="000000"/>
        </w:rPr>
        <w:t xml:space="preserve"> terk etmek zorunda kalan milyonlarca insanın</w:t>
      </w:r>
      <w:r w:rsidR="003013EB">
        <w:rPr>
          <w:color w:val="000000"/>
        </w:rPr>
        <w:t xml:space="preserve"> göç ettiği </w:t>
      </w:r>
      <w:r w:rsidRPr="001372AC">
        <w:rPr>
          <w:color w:val="000000"/>
        </w:rPr>
        <w:t xml:space="preserve">bir ülkedir. Göç İdaresi Genel Müdürlüğü’nün 12.06.2025 </w:t>
      </w:r>
      <w:r w:rsidR="003E1041">
        <w:rPr>
          <w:color w:val="000000"/>
        </w:rPr>
        <w:t xml:space="preserve">tarihli </w:t>
      </w:r>
      <w:r w:rsidRPr="001372AC">
        <w:rPr>
          <w:color w:val="000000"/>
        </w:rPr>
        <w:t>verilerine göre, Türkiye’de 2.691</w:t>
      </w:r>
      <w:r w:rsidR="00ED3A1C">
        <w:rPr>
          <w:color w:val="000000"/>
        </w:rPr>
        <w:t>.</w:t>
      </w:r>
      <w:r w:rsidRPr="001372AC">
        <w:rPr>
          <w:color w:val="000000"/>
        </w:rPr>
        <w:t xml:space="preserve">160 Suriyeli geçici koruma statüsüyle, yüz binlerce uluslararası koruma başvurusu sahibi ve ikamet izniyle yaşayan başka uyruktan kişi bulunmaktadır. Ancak, bu insanlar uluslararası hukukta tanınan sığınma haklarından mahrum bırakılmakta, sistematik hak ihlalleriyle karşı karşıya kalmaktadır. </w:t>
      </w:r>
    </w:p>
    <w:p w14:paraId="6E0A8597" w14:textId="339E125C" w:rsidR="001372AC" w:rsidRPr="001372AC" w:rsidRDefault="001372AC" w:rsidP="008F0387">
      <w:pPr>
        <w:spacing w:before="100" w:beforeAutospacing="1" w:after="100" w:afterAutospacing="1"/>
        <w:jc w:val="both"/>
        <w:rPr>
          <w:color w:val="000000"/>
        </w:rPr>
      </w:pPr>
      <w:r w:rsidRPr="001372AC">
        <w:rPr>
          <w:color w:val="000000"/>
        </w:rPr>
        <w:t>26 Haziran İşkenceye Karşı Mücadele ve İşkence Görenlerle Dayanışma Günü’nde, Arnavutköy Geri Gönderme Merkezi önünde, mültecilere yönelik işkence, kötü muamele ve hak gasplarına karşı sesimizi yükseltiyoruz: </w:t>
      </w:r>
      <w:r w:rsidRPr="001372AC">
        <w:rPr>
          <w:b/>
          <w:bCs/>
          <w:color w:val="000000"/>
        </w:rPr>
        <w:t xml:space="preserve">İşkence mutlak olarak yasaktır! </w:t>
      </w:r>
      <w:r w:rsidR="003E1041">
        <w:rPr>
          <w:b/>
          <w:bCs/>
          <w:color w:val="000000"/>
        </w:rPr>
        <w:t xml:space="preserve">Bu yasağın hiçbir istisnası yoktur! </w:t>
      </w:r>
      <w:r w:rsidRPr="001372AC">
        <w:rPr>
          <w:b/>
          <w:bCs/>
          <w:color w:val="000000"/>
        </w:rPr>
        <w:t>İ</w:t>
      </w:r>
      <w:r w:rsidR="003E1041">
        <w:rPr>
          <w:b/>
          <w:bCs/>
          <w:color w:val="000000"/>
        </w:rPr>
        <w:t>şkence i</w:t>
      </w:r>
      <w:r w:rsidRPr="001372AC">
        <w:rPr>
          <w:b/>
          <w:bCs/>
          <w:color w:val="000000"/>
        </w:rPr>
        <w:t>nsanlık onuru</w:t>
      </w:r>
      <w:r w:rsidR="003E1041">
        <w:rPr>
          <w:b/>
          <w:bCs/>
          <w:color w:val="000000"/>
        </w:rPr>
        <w:t>na karşı bir fiildir</w:t>
      </w:r>
      <w:r w:rsidRPr="001372AC">
        <w:rPr>
          <w:b/>
          <w:bCs/>
          <w:color w:val="000000"/>
        </w:rPr>
        <w:t>!</w:t>
      </w:r>
      <w:r w:rsidR="003E1041">
        <w:rPr>
          <w:b/>
          <w:bCs/>
          <w:color w:val="000000"/>
        </w:rPr>
        <w:t xml:space="preserve"> İnsanlık onuru işkenceyi mutlaka yenecektir!</w:t>
      </w:r>
    </w:p>
    <w:p w14:paraId="78181EF5" w14:textId="02387E81" w:rsidR="00C87849" w:rsidRDefault="001372AC" w:rsidP="008F0387">
      <w:pPr>
        <w:spacing w:before="100" w:beforeAutospacing="1" w:after="100" w:afterAutospacing="1"/>
        <w:jc w:val="both"/>
        <w:rPr>
          <w:color w:val="000000"/>
        </w:rPr>
      </w:pPr>
      <w:r w:rsidRPr="001372AC">
        <w:rPr>
          <w:color w:val="000000"/>
        </w:rPr>
        <w:t xml:space="preserve">Ülkemizde yaşayan mülteciler, yalnızca birer istatistik değil, hayatta kalma mücadelesi veren </w:t>
      </w:r>
      <w:r w:rsidR="00983535">
        <w:rPr>
          <w:color w:val="000000"/>
        </w:rPr>
        <w:t xml:space="preserve">ve her biri biricik değere sahip </w:t>
      </w:r>
      <w:r w:rsidRPr="001372AC">
        <w:rPr>
          <w:color w:val="000000"/>
        </w:rPr>
        <w:t>insanlardır. Suriye’de 14 yıldır süren savaş, milyonlarca insanın evlerini, ailelerini ve geleceklerini kaybetmesine yol aç</w:t>
      </w:r>
      <w:r w:rsidR="00647737">
        <w:rPr>
          <w:color w:val="000000"/>
        </w:rPr>
        <w:t>tı</w:t>
      </w:r>
      <w:r w:rsidRPr="001372AC">
        <w:rPr>
          <w:color w:val="000000"/>
        </w:rPr>
        <w:t>. Afganistan’da Taliban’ın baskısı, İran’da muhaliflere yönelik işkence ve idamlar, Irak’ta devam eden mezhep çatışmalar</w:t>
      </w:r>
      <w:r w:rsidR="0026140E">
        <w:rPr>
          <w:color w:val="000000"/>
        </w:rPr>
        <w:t>ı</w:t>
      </w:r>
      <w:r w:rsidRPr="001372AC">
        <w:rPr>
          <w:color w:val="000000"/>
        </w:rPr>
        <w:t xml:space="preserve"> ve Afrika’daki iç savaşlar, </w:t>
      </w:r>
      <w:r w:rsidR="00647737">
        <w:rPr>
          <w:color w:val="000000"/>
        </w:rPr>
        <w:t>milyonlarca insanı dünya coğrafyasın</w:t>
      </w:r>
      <w:r w:rsidR="0026140E">
        <w:rPr>
          <w:color w:val="000000"/>
        </w:rPr>
        <w:t>ın dört bir yanına</w:t>
      </w:r>
      <w:r w:rsidR="00647737">
        <w:rPr>
          <w:color w:val="000000"/>
        </w:rPr>
        <w:t xml:space="preserve"> dağıtırken milyonlarca </w:t>
      </w:r>
      <w:r w:rsidRPr="001372AC">
        <w:rPr>
          <w:color w:val="000000"/>
        </w:rPr>
        <w:t>insan</w:t>
      </w:r>
      <w:r w:rsidR="00647737">
        <w:rPr>
          <w:color w:val="000000"/>
        </w:rPr>
        <w:t>ı da</w:t>
      </w:r>
      <w:r w:rsidRPr="001372AC">
        <w:rPr>
          <w:color w:val="000000"/>
        </w:rPr>
        <w:t xml:space="preserve"> Türkiye’ye sığınmaya zorlamaktadır. Birleşmiş Milletler Mülteci</w:t>
      </w:r>
      <w:r w:rsidR="00BC3F47">
        <w:rPr>
          <w:color w:val="000000"/>
        </w:rPr>
        <w:t>ler Yüksek Komiserliği’nin</w:t>
      </w:r>
      <w:r w:rsidRPr="001372AC">
        <w:rPr>
          <w:color w:val="000000"/>
        </w:rPr>
        <w:t xml:space="preserve"> (UNHCR) 2024 </w:t>
      </w:r>
      <w:r w:rsidR="00647737">
        <w:rPr>
          <w:color w:val="000000"/>
        </w:rPr>
        <w:t xml:space="preserve">yılı </w:t>
      </w:r>
      <w:r w:rsidRPr="001372AC">
        <w:rPr>
          <w:color w:val="000000"/>
        </w:rPr>
        <w:t xml:space="preserve">raporuna göre, dünya genelinde 123,2 milyon kişi savaş, şiddet ve zulüm nedeniyle zorla yerinden edilmiştir; bu, her 66 kişiden birinin mülteci veya yerinden edilmiş kişi olduğu anlamına </w:t>
      </w:r>
      <w:r w:rsidR="00983535" w:rsidRPr="001372AC">
        <w:rPr>
          <w:color w:val="000000"/>
        </w:rPr>
        <w:t>gel</w:t>
      </w:r>
      <w:r w:rsidR="00983535">
        <w:rPr>
          <w:color w:val="000000"/>
        </w:rPr>
        <w:t>mektedir</w:t>
      </w:r>
      <w:r w:rsidRPr="001372AC">
        <w:rPr>
          <w:color w:val="000000"/>
        </w:rPr>
        <w:t xml:space="preserve">. Uluslararası Göç Örgütü’nün (IOM) 2024 Dünya Göç Raporu’na göre, </w:t>
      </w:r>
      <w:r w:rsidR="00647737">
        <w:rPr>
          <w:color w:val="000000"/>
        </w:rPr>
        <w:t xml:space="preserve">yeryüzünde </w:t>
      </w:r>
      <w:r w:rsidRPr="001372AC">
        <w:rPr>
          <w:color w:val="000000"/>
        </w:rPr>
        <w:t>281 milyon göçmen ve 117 milyon yerinden edilmiş kişi bulunmakta</w:t>
      </w:r>
      <w:r w:rsidR="00647737">
        <w:rPr>
          <w:color w:val="000000"/>
        </w:rPr>
        <w:t xml:space="preserve"> olup</w:t>
      </w:r>
      <w:r w:rsidRPr="001372AC">
        <w:rPr>
          <w:color w:val="000000"/>
        </w:rPr>
        <w:t xml:space="preserve"> Suriye, Afganistan, Ukrayna, Filistin, Sudan ve Myanmar gibi ülkeler çatışmalardan en çok etkilenen bölgelerdir.</w:t>
      </w:r>
    </w:p>
    <w:p w14:paraId="3A33490B" w14:textId="4C59BF47" w:rsidR="006A513A" w:rsidRDefault="006A513A" w:rsidP="008F0387">
      <w:pPr>
        <w:spacing w:before="100" w:beforeAutospacing="1" w:after="100" w:afterAutospacing="1"/>
        <w:jc w:val="both"/>
        <w:rPr>
          <w:color w:val="000000"/>
        </w:rPr>
      </w:pPr>
      <w:r w:rsidRPr="001372AC">
        <w:rPr>
          <w:color w:val="000000"/>
        </w:rPr>
        <w:t xml:space="preserve">1951 Mültecilerin Hukuki Statüsüne İlişkin Cenevre Sözleşmesi ve 1967 Protokolü, savaş, zulüm ve insan hakları ihlalleri nedeniyle ülkelerini terk edenlere sığınma hakkı tanımakta, devletlere </w:t>
      </w:r>
      <w:proofErr w:type="spellStart"/>
      <w:r w:rsidRPr="00F90CA9">
        <w:rPr>
          <w:i/>
          <w:iCs/>
          <w:color w:val="000000"/>
        </w:rPr>
        <w:t>non-refoulement</w:t>
      </w:r>
      <w:proofErr w:type="spellEnd"/>
      <w:r w:rsidRPr="001372AC">
        <w:rPr>
          <w:color w:val="000000"/>
        </w:rPr>
        <w:t xml:space="preserve"> (geri göndermeme) ilkesine uyma yükümlülüğü getirmektedir</w:t>
      </w:r>
      <w:r w:rsidR="0026140E">
        <w:rPr>
          <w:color w:val="000000"/>
        </w:rPr>
        <w:t>.</w:t>
      </w:r>
      <w:r w:rsidRPr="001372AC">
        <w:rPr>
          <w:color w:val="000000"/>
        </w:rPr>
        <w:t xml:space="preserve"> </w:t>
      </w:r>
      <w:r>
        <w:rPr>
          <w:color w:val="000000"/>
        </w:rPr>
        <w:t xml:space="preserve"> Ancak </w:t>
      </w:r>
      <w:r w:rsidR="0006645D" w:rsidRPr="001372AC">
        <w:rPr>
          <w:color w:val="000000"/>
        </w:rPr>
        <w:t xml:space="preserve">Türkiye, Cenevre Sözleşmesi’ne koyduğu coğrafi çekinceyle, yalnızca Avrupa’dan gelenlere “mülteci” statüsü tanımakta, </w:t>
      </w:r>
      <w:r w:rsidR="0006645D">
        <w:rPr>
          <w:color w:val="000000"/>
        </w:rPr>
        <w:t>Avrupa dışındaki ülkelerden gelen mültecileri</w:t>
      </w:r>
      <w:r w:rsidR="0006645D" w:rsidRPr="001372AC">
        <w:rPr>
          <w:color w:val="000000"/>
        </w:rPr>
        <w:t xml:space="preserve"> “geçici koruma” veya “uluslararası koruma” gibi sınırlı statülerle belirsizliğe mahkûm etmektedir.</w:t>
      </w:r>
      <w:r w:rsidR="0006645D" w:rsidRPr="0006645D">
        <w:rPr>
          <w:color w:val="000000"/>
        </w:rPr>
        <w:t xml:space="preserve"> </w:t>
      </w:r>
      <w:r w:rsidR="0006645D" w:rsidRPr="001372AC">
        <w:rPr>
          <w:color w:val="000000"/>
        </w:rPr>
        <w:t xml:space="preserve">Bu </w:t>
      </w:r>
      <w:r w:rsidR="0006645D">
        <w:rPr>
          <w:color w:val="000000"/>
        </w:rPr>
        <w:t xml:space="preserve">coğrafi </w:t>
      </w:r>
      <w:r w:rsidR="0006645D" w:rsidRPr="001372AC">
        <w:rPr>
          <w:color w:val="000000"/>
        </w:rPr>
        <w:t>çekince, mültecilerin yasal koru</w:t>
      </w:r>
      <w:r w:rsidR="0006645D">
        <w:rPr>
          <w:color w:val="000000"/>
        </w:rPr>
        <w:t>n</w:t>
      </w:r>
      <w:r w:rsidR="0006645D" w:rsidRPr="001372AC">
        <w:rPr>
          <w:color w:val="000000"/>
        </w:rPr>
        <w:t xml:space="preserve">ma, çalışma, eğitim ve sağlık haklarından etkin şekilde yararlanmasını engellemekte, onları ayrımcılık, yoksulluk ve sınır dışı </w:t>
      </w:r>
      <w:r w:rsidR="00647737">
        <w:rPr>
          <w:color w:val="000000"/>
        </w:rPr>
        <w:t xml:space="preserve">edilme </w:t>
      </w:r>
      <w:r w:rsidR="0006645D" w:rsidRPr="001372AC">
        <w:rPr>
          <w:color w:val="000000"/>
        </w:rPr>
        <w:t>tehdidiyle baş başa bırakmaktadır.</w:t>
      </w:r>
    </w:p>
    <w:p w14:paraId="20107A2F" w14:textId="2A0BEB47" w:rsidR="004B4A5D" w:rsidRDefault="001372AC" w:rsidP="00F90CA9">
      <w:pPr>
        <w:spacing w:before="100" w:beforeAutospacing="1" w:after="100" w:afterAutospacing="1"/>
        <w:jc w:val="both"/>
        <w:rPr>
          <w:b/>
          <w:bCs/>
          <w:color w:val="000000"/>
          <w:sz w:val="27"/>
          <w:szCs w:val="27"/>
        </w:rPr>
      </w:pPr>
      <w:r w:rsidRPr="001372AC">
        <w:rPr>
          <w:color w:val="000000"/>
        </w:rPr>
        <w:t>İnsan Hakları Derneği’nin (İHD</w:t>
      </w:r>
      <w:r w:rsidR="00C87849">
        <w:rPr>
          <w:color w:val="000000"/>
        </w:rPr>
        <w:t>) ve Uluslararası Af Örgütü</w:t>
      </w:r>
      <w:r w:rsidR="00647737">
        <w:rPr>
          <w:color w:val="000000"/>
        </w:rPr>
        <w:t>’</w:t>
      </w:r>
      <w:r w:rsidR="00C87849">
        <w:rPr>
          <w:color w:val="000000"/>
        </w:rPr>
        <w:t>nün</w:t>
      </w:r>
      <w:r w:rsidRPr="001372AC">
        <w:rPr>
          <w:color w:val="000000"/>
        </w:rPr>
        <w:t xml:space="preserve"> tespitlerine göre, Türkiye’nin AB ile yaptığı Geri Kabul Anlaşması, </w:t>
      </w:r>
      <w:proofErr w:type="spellStart"/>
      <w:r w:rsidRPr="00F90CA9">
        <w:rPr>
          <w:i/>
          <w:iCs/>
          <w:color w:val="000000"/>
        </w:rPr>
        <w:t>non-refoulement</w:t>
      </w:r>
      <w:proofErr w:type="spellEnd"/>
      <w:r w:rsidRPr="001372AC">
        <w:rPr>
          <w:color w:val="000000"/>
        </w:rPr>
        <w:t xml:space="preserve"> </w:t>
      </w:r>
      <w:r w:rsidR="0026140E">
        <w:rPr>
          <w:color w:val="000000"/>
        </w:rPr>
        <w:t xml:space="preserve">(geri göndermeme) </w:t>
      </w:r>
      <w:r w:rsidRPr="001372AC">
        <w:rPr>
          <w:color w:val="000000"/>
        </w:rPr>
        <w:t>ilkesini ihlal ederek mültecileri can güvenliklerinin tehdit altında olduğu ülkelere geri gönderme riskini artırmakta, mültecileri siyasi pazarlık malzemesi haline getirmekte ve ayrımcı söylemlerle toplumsal dışlanmaya itmektedir.</w:t>
      </w:r>
    </w:p>
    <w:p w14:paraId="00C4CE5C" w14:textId="2F7113C7" w:rsidR="001372AC" w:rsidRPr="006F7439" w:rsidRDefault="007D0F8A" w:rsidP="008F0387">
      <w:pPr>
        <w:spacing w:before="100" w:beforeAutospacing="1" w:after="100" w:afterAutospacing="1"/>
        <w:jc w:val="both"/>
        <w:outlineLvl w:val="2"/>
        <w:rPr>
          <w:b/>
          <w:bCs/>
          <w:color w:val="000000"/>
          <w:sz w:val="27"/>
          <w:szCs w:val="27"/>
        </w:rPr>
      </w:pPr>
      <w:r w:rsidRPr="007D0F8A">
        <w:rPr>
          <w:b/>
          <w:bCs/>
          <w:color w:val="000000"/>
          <w:sz w:val="27"/>
          <w:szCs w:val="27"/>
        </w:rPr>
        <w:lastRenderedPageBreak/>
        <w:t xml:space="preserve">Türkiye’de </w:t>
      </w:r>
      <w:r>
        <w:rPr>
          <w:b/>
          <w:bCs/>
          <w:color w:val="000000"/>
          <w:sz w:val="27"/>
          <w:szCs w:val="27"/>
        </w:rPr>
        <w:t>“</w:t>
      </w:r>
      <w:r w:rsidRPr="007D0F8A">
        <w:rPr>
          <w:b/>
          <w:bCs/>
          <w:color w:val="000000"/>
          <w:sz w:val="27"/>
          <w:szCs w:val="27"/>
        </w:rPr>
        <w:t>Mülteci</w:t>
      </w:r>
      <w:r>
        <w:rPr>
          <w:b/>
          <w:bCs/>
          <w:color w:val="000000"/>
          <w:sz w:val="27"/>
          <w:szCs w:val="27"/>
        </w:rPr>
        <w:t>lik”</w:t>
      </w:r>
      <w:r w:rsidRPr="007D0F8A">
        <w:rPr>
          <w:b/>
          <w:bCs/>
          <w:color w:val="000000"/>
          <w:sz w:val="27"/>
          <w:szCs w:val="27"/>
        </w:rPr>
        <w:t xml:space="preserve"> Hakkının Tanınmaması</w:t>
      </w:r>
      <w:r w:rsidR="00944286">
        <w:rPr>
          <w:b/>
          <w:bCs/>
          <w:color w:val="000000"/>
          <w:sz w:val="27"/>
          <w:szCs w:val="27"/>
        </w:rPr>
        <w:t>,</w:t>
      </w:r>
      <w:r w:rsidRPr="007D0F8A">
        <w:rPr>
          <w:b/>
          <w:bCs/>
          <w:color w:val="000000"/>
          <w:sz w:val="27"/>
          <w:szCs w:val="27"/>
        </w:rPr>
        <w:t xml:space="preserve"> Yarattığı Zorluklar</w:t>
      </w:r>
      <w:r w:rsidR="00944286">
        <w:rPr>
          <w:b/>
          <w:bCs/>
          <w:color w:val="000000"/>
          <w:sz w:val="27"/>
          <w:szCs w:val="27"/>
        </w:rPr>
        <w:t xml:space="preserve"> ve İHD Başvuruları Bağlamında Tespitler</w:t>
      </w:r>
    </w:p>
    <w:p w14:paraId="6775ABB6" w14:textId="0F5EBAD8" w:rsidR="00AE0C6E" w:rsidRPr="00AE0C6E" w:rsidRDefault="00AE0C6E" w:rsidP="008F0387">
      <w:pPr>
        <w:spacing w:before="100" w:beforeAutospacing="1" w:after="100" w:afterAutospacing="1"/>
        <w:jc w:val="both"/>
        <w:rPr>
          <w:color w:val="000000"/>
        </w:rPr>
      </w:pPr>
      <w:r w:rsidRPr="00AE0C6E">
        <w:rPr>
          <w:color w:val="000000"/>
        </w:rPr>
        <w:t xml:space="preserve">Mülteci Hakları Merkezi (MHM) başta olmak üzere ulusal ve uluslararası insan hakları örgütlerinin raporlarına göre, </w:t>
      </w:r>
      <w:r w:rsidR="000A53B6">
        <w:rPr>
          <w:color w:val="000000"/>
        </w:rPr>
        <w:t>Türkiye’nin uyguladığı geçici ve uluslararası koruma uygulamaları,</w:t>
      </w:r>
      <w:r w:rsidRPr="00AE0C6E">
        <w:rPr>
          <w:color w:val="000000"/>
        </w:rPr>
        <w:t xml:space="preserve"> mültecilere kalıcı bir güvenlik sağlamamakta; keyfi uygulamalar, bürokratik engeller ve ayrımcılık, mültecilerin hayatta kalma mücadelelerini zorlaştırmaktadır. İnsan hakları örgütlerinin tespitleri, bu statülerin sıklıkla keyfi şekilde iptal edildiğini, mültecilerin eğitim, sağlık, barınma ve gıda gibi temel sağlık ve sosyal hizmet gereksinimler</w:t>
      </w:r>
      <w:r w:rsidR="0006645D">
        <w:rPr>
          <w:color w:val="000000"/>
        </w:rPr>
        <w:t>in</w:t>
      </w:r>
      <w:r w:rsidRPr="00AE0C6E">
        <w:rPr>
          <w:color w:val="000000"/>
        </w:rPr>
        <w:t xml:space="preserve">den yoksun bırakıldığını ve derin bir yoksullukla karşı karşıya kaldığını ortaya koymaktadır. Daha somut verilerle desteklemek gerekirse, İnsan Hakları Derneği (İHD) İstanbul Şubesi’ne 2024 yılından 2025’in ilk altı ayına kadar, yani toplam 1,5 yıllık sürede, toplam 148 mülteci başvuruda bulunmuştur. Bir insan hakları örgütüne ulaşabilmenin oldukça güç olduğu mülteciler için yalnızca bir buçuk sene içerisinde alınan bu başvurular, sistematik ihlalleri açıkça </w:t>
      </w:r>
      <w:r>
        <w:rPr>
          <w:color w:val="000000"/>
        </w:rPr>
        <w:t>göstermektedir</w:t>
      </w:r>
      <w:r w:rsidRPr="00AE0C6E">
        <w:rPr>
          <w:color w:val="000000"/>
        </w:rPr>
        <w:t>. Bu başvuruların tamamı, geçici koruma veya uluslararası koruma statüleri keyfi</w:t>
      </w:r>
      <w:r w:rsidR="0026140E">
        <w:rPr>
          <w:color w:val="000000"/>
        </w:rPr>
        <w:t xml:space="preserve"> bir şekilde</w:t>
      </w:r>
      <w:r w:rsidRPr="00AE0C6E">
        <w:rPr>
          <w:color w:val="000000"/>
        </w:rPr>
        <w:t xml:space="preserve"> iptal edilerek kimliksiz bırakılan, sokaktan rastgele alınarak Geri Gönderme Merkezleri’nde (GGM) aylarca tutulan, sağlık ve eğitim hakları engellenen kişilerden oluşuyor. Başvurular arasında, İstanbul’daki </w:t>
      </w:r>
      <w:proofErr w:type="spellStart"/>
      <w:r w:rsidRPr="00AE0C6E">
        <w:rPr>
          <w:color w:val="000000"/>
        </w:rPr>
        <w:t>Binkılıç</w:t>
      </w:r>
      <w:proofErr w:type="spellEnd"/>
      <w:r>
        <w:rPr>
          <w:color w:val="000000"/>
        </w:rPr>
        <w:t xml:space="preserve">, Tuzla </w:t>
      </w:r>
      <w:r w:rsidRPr="00AE0C6E">
        <w:rPr>
          <w:color w:val="000000"/>
        </w:rPr>
        <w:t xml:space="preserve">ve Arnavutköy </w:t>
      </w:r>
      <w:proofErr w:type="spellStart"/>
      <w:r w:rsidRPr="00AE0C6E">
        <w:rPr>
          <w:color w:val="000000"/>
        </w:rPr>
        <w:t>GGM’lerinde</w:t>
      </w:r>
      <w:proofErr w:type="spellEnd"/>
      <w:r w:rsidRPr="00AE0C6E">
        <w:rPr>
          <w:color w:val="000000"/>
        </w:rPr>
        <w:t xml:space="preserve"> fiziksel ve psikolojik işkenceye maruz kaldığını beyan eden kişiler de bulunmaktadır.</w:t>
      </w:r>
    </w:p>
    <w:p w14:paraId="284960C0" w14:textId="58F0AF6B" w:rsidR="00AE0C6E" w:rsidRPr="00AE0C6E" w:rsidRDefault="00AE0C6E" w:rsidP="008F0387">
      <w:pPr>
        <w:spacing w:before="100" w:beforeAutospacing="1" w:after="100" w:afterAutospacing="1"/>
        <w:jc w:val="both"/>
        <w:rPr>
          <w:color w:val="000000"/>
        </w:rPr>
      </w:pPr>
      <w:r w:rsidRPr="00AE0C6E">
        <w:rPr>
          <w:color w:val="000000"/>
        </w:rPr>
        <w:t xml:space="preserve">Örneğin, </w:t>
      </w:r>
      <w:proofErr w:type="spellStart"/>
      <w:r w:rsidR="00B859CC">
        <w:rPr>
          <w:color w:val="000000"/>
        </w:rPr>
        <w:t>İHD’ye</w:t>
      </w:r>
      <w:proofErr w:type="spellEnd"/>
      <w:r w:rsidR="00B859CC">
        <w:rPr>
          <w:color w:val="000000"/>
        </w:rPr>
        <w:t xml:space="preserve"> </w:t>
      </w:r>
      <w:r w:rsidR="00B859CC" w:rsidRPr="00AE0C6E">
        <w:rPr>
          <w:color w:val="000000"/>
        </w:rPr>
        <w:t>22.01.2024</w:t>
      </w:r>
      <w:r w:rsidRPr="00AE0C6E">
        <w:rPr>
          <w:color w:val="000000"/>
        </w:rPr>
        <w:t xml:space="preserve"> tarihinde başvuruda bulunan bir mülteci, şu beyanda bulunmuştur: “</w:t>
      </w:r>
      <w:r w:rsidR="0026140E">
        <w:rPr>
          <w:color w:val="000000"/>
        </w:rPr>
        <w:t xml:space="preserve">(…). </w:t>
      </w:r>
      <w:r w:rsidRPr="00AE0C6E">
        <w:rPr>
          <w:i/>
          <w:iCs/>
          <w:color w:val="000000"/>
        </w:rPr>
        <w:t>Eşim şu</w:t>
      </w:r>
      <w:r w:rsidR="0006645D">
        <w:rPr>
          <w:i/>
          <w:iCs/>
          <w:color w:val="000000"/>
        </w:rPr>
        <w:t xml:space="preserve"> </w:t>
      </w:r>
      <w:r w:rsidRPr="00AE0C6E">
        <w:rPr>
          <w:i/>
          <w:iCs/>
          <w:color w:val="000000"/>
        </w:rPr>
        <w:t xml:space="preserve">an Arnavutköy Geri Gönderme Merkezinde tutuluyor. Göç idaresine parmak izi vermeye giderken alıp oraya götürdüler. Eşim engelli ve hasta. Bu raporları da sunduk onlara, eşim de hastayım engelliyim demiş ve bunları söylediği her anda özellikle ağrım var dedikleri yerlere vurmuşlar. Orada ona çok eziyet ediliyor.” </w:t>
      </w:r>
      <w:r w:rsidRPr="00AE0C6E">
        <w:rPr>
          <w:color w:val="000000"/>
        </w:rPr>
        <w:t xml:space="preserve">Şubat 2024 tarihinde yapılan bir başvuruda ise başka bir kişi, </w:t>
      </w:r>
      <w:r w:rsidRPr="00AE0C6E">
        <w:rPr>
          <w:i/>
          <w:iCs/>
          <w:color w:val="000000"/>
        </w:rPr>
        <w:t>“</w:t>
      </w:r>
      <w:r w:rsidR="0026140E">
        <w:rPr>
          <w:color w:val="000000"/>
        </w:rPr>
        <w:t xml:space="preserve">(…). </w:t>
      </w:r>
      <w:r w:rsidRPr="00AE0C6E">
        <w:rPr>
          <w:i/>
          <w:iCs/>
          <w:color w:val="000000"/>
        </w:rPr>
        <w:t>Kardeşim 10 gündür geri gönderme merkezinde tutuluyor. 10 gündür yatak verilmemiş yerlerde yatıyorlarmış hepsi, günlerce de su ve yemek vermemişler. Aç ve susuz bekletiyorlar orada, lütfen bize yardım edin”</w:t>
      </w:r>
      <w:r w:rsidRPr="00AE0C6E">
        <w:rPr>
          <w:color w:val="000000"/>
        </w:rPr>
        <w:t xml:space="preserve"> diyerek </w:t>
      </w:r>
      <w:proofErr w:type="spellStart"/>
      <w:r w:rsidRPr="00AE0C6E">
        <w:rPr>
          <w:color w:val="000000"/>
        </w:rPr>
        <w:t>GGM’lerdeki</w:t>
      </w:r>
      <w:proofErr w:type="spellEnd"/>
      <w:r w:rsidRPr="00AE0C6E">
        <w:rPr>
          <w:color w:val="000000"/>
        </w:rPr>
        <w:t xml:space="preserve"> </w:t>
      </w:r>
      <w:r>
        <w:rPr>
          <w:color w:val="000000"/>
        </w:rPr>
        <w:t xml:space="preserve">işkence, </w:t>
      </w:r>
      <w:r w:rsidRPr="00AE0C6E">
        <w:rPr>
          <w:color w:val="000000"/>
        </w:rPr>
        <w:t xml:space="preserve">kötü muamele ve yaşamsal ihtiyaçlardan yoksun bırakılma iddialarını dile getirmiştir. </w:t>
      </w:r>
      <w:r w:rsidR="0026140E">
        <w:rPr>
          <w:color w:val="000000"/>
        </w:rPr>
        <w:t>Hem b</w:t>
      </w:r>
      <w:r w:rsidRPr="00AE0C6E">
        <w:rPr>
          <w:color w:val="000000"/>
        </w:rPr>
        <w:t>aşvurularda</w:t>
      </w:r>
      <w:r w:rsidR="0026140E">
        <w:rPr>
          <w:color w:val="000000"/>
        </w:rPr>
        <w:t>n</w:t>
      </w:r>
      <w:r w:rsidRPr="00AE0C6E">
        <w:rPr>
          <w:color w:val="000000"/>
        </w:rPr>
        <w:t xml:space="preserve"> </w:t>
      </w:r>
      <w:r w:rsidR="0026140E">
        <w:rPr>
          <w:color w:val="000000"/>
        </w:rPr>
        <w:t>hem de</w:t>
      </w:r>
      <w:r w:rsidRPr="00AE0C6E">
        <w:rPr>
          <w:color w:val="000000"/>
        </w:rPr>
        <w:t xml:space="preserve"> kamuoyuna yansıyan açık bilgilerde</w:t>
      </w:r>
      <w:r w:rsidR="00C824C1">
        <w:rPr>
          <w:color w:val="000000"/>
        </w:rPr>
        <w:t xml:space="preserve"> açığa çıkan</w:t>
      </w:r>
      <w:r w:rsidRPr="00AE0C6E">
        <w:rPr>
          <w:color w:val="000000"/>
        </w:rPr>
        <w:t xml:space="preserve"> önemli bir husus da söz konusu </w:t>
      </w:r>
      <w:proofErr w:type="spellStart"/>
      <w:r w:rsidRPr="00AE0C6E">
        <w:rPr>
          <w:color w:val="000000"/>
        </w:rPr>
        <w:t>GGM’lerde</w:t>
      </w:r>
      <w:proofErr w:type="spellEnd"/>
      <w:r w:rsidRPr="00AE0C6E">
        <w:rPr>
          <w:color w:val="000000"/>
        </w:rPr>
        <w:t xml:space="preserve"> tutulan kişilere zorla “gönüllü” geri dönüş formlarının imzalatılmaya çalışılmasıdır. Çoğu kez önlerine konulan evrağın tercümesi dahi yapılmadan ve kişilere zorla imzalatılan bu belgelerle</w:t>
      </w:r>
      <w:r w:rsidR="00C824C1">
        <w:rPr>
          <w:color w:val="000000"/>
        </w:rPr>
        <w:t xml:space="preserve"> kişiler</w:t>
      </w:r>
      <w:r w:rsidRPr="00AE0C6E">
        <w:rPr>
          <w:color w:val="000000"/>
        </w:rPr>
        <w:t xml:space="preserve"> hak</w:t>
      </w:r>
      <w:r w:rsidR="00C824C1">
        <w:rPr>
          <w:color w:val="000000"/>
        </w:rPr>
        <w:t>k</w:t>
      </w:r>
      <w:r w:rsidRPr="00AE0C6E">
        <w:rPr>
          <w:color w:val="000000"/>
        </w:rPr>
        <w:t xml:space="preserve">ında derhal sınır dışı işlemi uygulanıyor. Örneğin, Nisan ayında e-posta yoluyla kurumumuza başvuran bir mülteci, şu beyanda bulunmuştur: </w:t>
      </w:r>
      <w:r w:rsidRPr="00AE0C6E">
        <w:rPr>
          <w:i/>
          <w:iCs/>
          <w:color w:val="000000"/>
        </w:rPr>
        <w:t>“Evliyim ve bir kızım var. İstanbul’da yaşıyorduk ve oraya da kayıtlıydım. Bir gün beni polis aldı, önce Tuzla’daki kampa sonra da Gaziantep’e götürdüler. Sonra da Suriye’ye gönderdiler. Bana bir sürü evrak imzalattılar zorla. Bunların geri dönüş formu olduklarını beni sınır dışı ederken söylediler. Ben şu an Suriye’deyim. Kızım ve eşim ise İstanbul’da kaldı. Yardımınızı ve desteğinizi bekliyorum.”</w:t>
      </w:r>
      <w:r w:rsidRPr="00AE0C6E">
        <w:rPr>
          <w:color w:val="000000"/>
        </w:rPr>
        <w:t xml:space="preserve"> Somut olayda da görül</w:t>
      </w:r>
      <w:r w:rsidR="00C824C1">
        <w:rPr>
          <w:color w:val="000000"/>
        </w:rPr>
        <w:t>düğü</w:t>
      </w:r>
      <w:r w:rsidRPr="00AE0C6E">
        <w:rPr>
          <w:color w:val="000000"/>
        </w:rPr>
        <w:t xml:space="preserve"> üzere, birçok mülteci hangi belgeye neden imza attıklarını bilmeden, zorla atılan bu imzalar nedeniyle sınır dışı ediliyor ve risk altında olan bu insanlar için geri göndermeme ilkesi her seferinde ihlal ediliyor. Kurumumuza yapılan tüm başvurular, benzer içeriklerle statü iptalleri, keyfi gözetim ve işkence iddialarını </w:t>
      </w:r>
      <w:r>
        <w:rPr>
          <w:color w:val="000000"/>
        </w:rPr>
        <w:t>göstermektedir</w:t>
      </w:r>
      <w:r w:rsidRPr="00AE0C6E">
        <w:rPr>
          <w:color w:val="000000"/>
        </w:rPr>
        <w:t xml:space="preserve">. Bu iddiaların tamamı, 6458 Sayılı Yabancılar ve Uluslararası Koruma Kanunu’nun temel hakları güvence altına alan maddeleri ile İnsan Hakları Evrensel Beyannamesi’nin 14. maddesi ve 1951 Cenevre Sözleşmesi’nin </w:t>
      </w:r>
      <w:proofErr w:type="spellStart"/>
      <w:r w:rsidRPr="00F90CA9">
        <w:rPr>
          <w:i/>
          <w:iCs/>
          <w:color w:val="000000"/>
        </w:rPr>
        <w:t>non-refoulement</w:t>
      </w:r>
      <w:proofErr w:type="spellEnd"/>
      <w:r w:rsidRPr="00AE0C6E">
        <w:rPr>
          <w:color w:val="000000"/>
        </w:rPr>
        <w:t xml:space="preserve"> ilkesine aykırıdır ve derhal bağımsız bir şekilde soruşturulmalıdır.</w:t>
      </w:r>
    </w:p>
    <w:p w14:paraId="2211745A" w14:textId="1263176E" w:rsidR="00AE0C6E" w:rsidRPr="00AE0C6E" w:rsidRDefault="00AE0C6E" w:rsidP="008F0387">
      <w:pPr>
        <w:spacing w:before="100" w:beforeAutospacing="1" w:after="100" w:afterAutospacing="1"/>
        <w:jc w:val="both"/>
        <w:rPr>
          <w:color w:val="000000"/>
        </w:rPr>
      </w:pPr>
      <w:r w:rsidRPr="00AE0C6E">
        <w:rPr>
          <w:color w:val="000000"/>
        </w:rPr>
        <w:lastRenderedPageBreak/>
        <w:t>Geçici koruma rejimi, özellikle Suriyeliler için, keyfi kimlik iptalleri ve sınırlı haklarla yürütülmektedir. MHM raporları, 2024</w:t>
      </w:r>
      <w:r w:rsidR="00C824C1">
        <w:rPr>
          <w:color w:val="000000"/>
        </w:rPr>
        <w:t xml:space="preserve"> yılında</w:t>
      </w:r>
      <w:r w:rsidRPr="00AE0C6E">
        <w:rPr>
          <w:color w:val="000000"/>
        </w:rPr>
        <w:t xml:space="preserve"> binlerce </w:t>
      </w:r>
      <w:proofErr w:type="spellStart"/>
      <w:r w:rsidRPr="00AE0C6E">
        <w:rPr>
          <w:color w:val="000000"/>
        </w:rPr>
        <w:t>Suriyeli’nin</w:t>
      </w:r>
      <w:proofErr w:type="spellEnd"/>
      <w:r w:rsidRPr="00AE0C6E">
        <w:rPr>
          <w:color w:val="000000"/>
        </w:rPr>
        <w:t xml:space="preserve"> geçici koruma statüsünün gerekçesiz şekilde iptal edildiğini</w:t>
      </w:r>
      <w:r w:rsidR="00C824C1">
        <w:rPr>
          <w:color w:val="000000"/>
        </w:rPr>
        <w:t>;</w:t>
      </w:r>
      <w:r w:rsidRPr="00AE0C6E">
        <w:rPr>
          <w:color w:val="000000"/>
        </w:rPr>
        <w:t xml:space="preserve"> bu nedenle sağlık, eğitim ve sosyal yardım haklarından mahrum kaldığını gösteriyor. Örneğin, kimlik iptalleri nedeniyle çocuklar okullara kaydedilemiyor, aileler genel sağlık sigortasından (GSS) yararlanamıyor ve sınır dışı </w:t>
      </w:r>
      <w:r w:rsidR="00C824C1">
        <w:rPr>
          <w:color w:val="000000"/>
        </w:rPr>
        <w:t xml:space="preserve">edilme </w:t>
      </w:r>
      <w:r w:rsidRPr="00AE0C6E">
        <w:rPr>
          <w:color w:val="000000"/>
        </w:rPr>
        <w:t xml:space="preserve">tehdidiyle karşı karşıya kalıyor. </w:t>
      </w:r>
      <w:r>
        <w:rPr>
          <w:color w:val="000000"/>
        </w:rPr>
        <w:t>İnsan hakları örgütlerinin</w:t>
      </w:r>
      <w:r w:rsidRPr="00AE0C6E">
        <w:rPr>
          <w:color w:val="000000"/>
        </w:rPr>
        <w:t xml:space="preserve"> tespitlerine göre, bu iptaller mültecileri derin yoksulluğa ve sosyal dışlanmaya itiyor</w:t>
      </w:r>
      <w:r w:rsidR="00C824C1">
        <w:rPr>
          <w:color w:val="000000"/>
        </w:rPr>
        <w:t xml:space="preserve"> ve</w:t>
      </w:r>
      <w:r w:rsidRPr="00AE0C6E">
        <w:rPr>
          <w:color w:val="000000"/>
        </w:rPr>
        <w:t xml:space="preserve"> özellikle</w:t>
      </w:r>
      <w:r w:rsidR="00C824C1">
        <w:rPr>
          <w:color w:val="000000"/>
        </w:rPr>
        <w:t xml:space="preserve"> hem</w:t>
      </w:r>
      <w:r w:rsidRPr="00AE0C6E">
        <w:rPr>
          <w:color w:val="000000"/>
        </w:rPr>
        <w:t xml:space="preserve"> işkenceden hayatta kalanlar</w:t>
      </w:r>
      <w:r w:rsidR="00C824C1">
        <w:rPr>
          <w:color w:val="000000"/>
        </w:rPr>
        <w:t xml:space="preserve"> için</w:t>
      </w:r>
      <w:r w:rsidRPr="00AE0C6E">
        <w:rPr>
          <w:color w:val="000000"/>
        </w:rPr>
        <w:t xml:space="preserve"> </w:t>
      </w:r>
      <w:r w:rsidR="00C824C1">
        <w:rPr>
          <w:color w:val="000000"/>
        </w:rPr>
        <w:t xml:space="preserve">hem de </w:t>
      </w:r>
      <w:r w:rsidRPr="00AE0C6E">
        <w:rPr>
          <w:color w:val="000000"/>
        </w:rPr>
        <w:t>ülkelerine geri gönderildiklerinde can güvenliği tehlikesiyle karşılaş</w:t>
      </w:r>
      <w:r w:rsidR="00DD2F4A">
        <w:rPr>
          <w:color w:val="000000"/>
        </w:rPr>
        <w:t>ması muhtemel</w:t>
      </w:r>
      <w:r w:rsidRPr="00AE0C6E">
        <w:rPr>
          <w:color w:val="000000"/>
        </w:rPr>
        <w:t xml:space="preserve"> kişiler için hayati riskler doğuruyor. Statülerin güvencesizliği, mültecilerin sürekli bir belirsizlik ve korku içinde yaşamasına neden oluyor, hukuki koruma eksikliği onları yasa dışı çalışmaya, sömürüye ve insan kaçakçılarının insafına terk ediyor.</w:t>
      </w:r>
    </w:p>
    <w:p w14:paraId="12A968EE" w14:textId="77E0DD39" w:rsidR="00AE0C6E" w:rsidRPr="00AE0C6E" w:rsidRDefault="00AE0C6E" w:rsidP="008F0387">
      <w:pPr>
        <w:spacing w:before="100" w:beforeAutospacing="1" w:after="100" w:afterAutospacing="1"/>
        <w:jc w:val="both"/>
        <w:rPr>
          <w:color w:val="000000"/>
        </w:rPr>
      </w:pPr>
      <w:r w:rsidRPr="00AE0C6E">
        <w:rPr>
          <w:color w:val="000000"/>
        </w:rPr>
        <w:t>Uluslararası koruma süreçleri ise Afganistan, İran, Irak ve diğer ülkelerden gelen başvuru sahipleri için</w:t>
      </w:r>
      <w:r w:rsidR="00C824C1">
        <w:rPr>
          <w:color w:val="000000"/>
        </w:rPr>
        <w:t xml:space="preserve"> oldukça</w:t>
      </w:r>
      <w:r w:rsidRPr="00AE0C6E">
        <w:rPr>
          <w:color w:val="000000"/>
        </w:rPr>
        <w:t xml:space="preserve"> uzun süren, şeffaf olmayan ve </w:t>
      </w:r>
      <w:r w:rsidR="00C824C1">
        <w:rPr>
          <w:color w:val="000000"/>
        </w:rPr>
        <w:t>hak ihlalleri içeren bir prosedüre dönüşmüş durumdadır</w:t>
      </w:r>
      <w:r w:rsidRPr="00AE0C6E">
        <w:rPr>
          <w:color w:val="000000"/>
        </w:rPr>
        <w:t xml:space="preserve">. </w:t>
      </w:r>
      <w:proofErr w:type="spellStart"/>
      <w:r w:rsidRPr="00AE0C6E">
        <w:rPr>
          <w:color w:val="000000"/>
        </w:rPr>
        <w:t>MHM’nin</w:t>
      </w:r>
      <w:proofErr w:type="spellEnd"/>
      <w:r w:rsidRPr="00AE0C6E">
        <w:rPr>
          <w:color w:val="000000"/>
        </w:rPr>
        <w:t xml:space="preserve"> “Türkiye’de Mülteci ve Sığınmacıların Hak ve Yükümlülükleri” </w:t>
      </w:r>
      <w:r>
        <w:rPr>
          <w:color w:val="000000"/>
        </w:rPr>
        <w:t>raporuna</w:t>
      </w:r>
      <w:r w:rsidRPr="00AE0C6E">
        <w:rPr>
          <w:color w:val="000000"/>
        </w:rPr>
        <w:t xml:space="preserve"> göre, başvuru</w:t>
      </w:r>
      <w:r>
        <w:rPr>
          <w:color w:val="000000"/>
        </w:rPr>
        <w:t>ların</w:t>
      </w:r>
      <w:r w:rsidRPr="00AE0C6E">
        <w:rPr>
          <w:color w:val="000000"/>
        </w:rPr>
        <w:t xml:space="preserve"> reddedilme oranları yüksek ve itiraz süreçleri etkin bir hukuki denetimden yoksun</w:t>
      </w:r>
      <w:r>
        <w:rPr>
          <w:color w:val="000000"/>
        </w:rPr>
        <w:t>dur</w:t>
      </w:r>
      <w:r w:rsidRPr="00AE0C6E">
        <w:rPr>
          <w:color w:val="000000"/>
        </w:rPr>
        <w:t xml:space="preserve">. Başvuru sahipleri, yıllarca statü belirsizliğiyle yaşıyor, bu süreçte çalışma izni alamıyor ve toplumsal dışlanmaya maruz kalıyor. </w:t>
      </w:r>
      <w:r w:rsidR="006F7439">
        <w:rPr>
          <w:color w:val="000000"/>
        </w:rPr>
        <w:t xml:space="preserve">Söz konusu </w:t>
      </w:r>
      <w:r w:rsidRPr="00AE0C6E">
        <w:rPr>
          <w:color w:val="000000"/>
        </w:rPr>
        <w:t>raporlar, bu belirsizliğin mültecilerin psikolojik sağlığını derinden etkilediğini,</w:t>
      </w:r>
      <w:r w:rsidR="004B4A5D">
        <w:rPr>
          <w:color w:val="000000"/>
        </w:rPr>
        <w:t xml:space="preserve"> </w:t>
      </w:r>
      <w:r w:rsidRPr="00AE0C6E">
        <w:rPr>
          <w:color w:val="000000"/>
        </w:rPr>
        <w:t>aile</w:t>
      </w:r>
      <w:r w:rsidR="004B4A5D">
        <w:rPr>
          <w:color w:val="000000"/>
        </w:rPr>
        <w:t>lerini parçalanmaya sürüklediğini</w:t>
      </w:r>
      <w:r w:rsidRPr="00AE0C6E">
        <w:rPr>
          <w:color w:val="000000"/>
        </w:rPr>
        <w:t xml:space="preserve"> ve çocuklarının eğitim</w:t>
      </w:r>
      <w:r w:rsidR="004B4A5D">
        <w:rPr>
          <w:color w:val="000000"/>
        </w:rPr>
        <w:t>e</w:t>
      </w:r>
      <w:r w:rsidRPr="00AE0C6E">
        <w:rPr>
          <w:color w:val="000000"/>
        </w:rPr>
        <w:t xml:space="preserve"> erişim gibi temel haklarını engellediğini vurguluyor. 2024</w:t>
      </w:r>
      <w:r w:rsidR="00DD2F4A">
        <w:rPr>
          <w:color w:val="000000"/>
        </w:rPr>
        <w:t xml:space="preserve"> yılında</w:t>
      </w:r>
      <w:r w:rsidRPr="00AE0C6E">
        <w:rPr>
          <w:color w:val="000000"/>
        </w:rPr>
        <w:t>, uluslararası koruma başvurusu yapanların %60’ından fazlasının başvurusu</w:t>
      </w:r>
      <w:r w:rsidR="00DD2F4A">
        <w:rPr>
          <w:color w:val="000000"/>
        </w:rPr>
        <w:t>nun</w:t>
      </w:r>
      <w:r w:rsidRPr="00AE0C6E">
        <w:rPr>
          <w:color w:val="000000"/>
        </w:rPr>
        <w:t xml:space="preserve"> </w:t>
      </w:r>
      <w:r w:rsidR="00E5457C">
        <w:rPr>
          <w:color w:val="000000"/>
        </w:rPr>
        <w:t>reddedildiği</w:t>
      </w:r>
      <w:r w:rsidRPr="00AE0C6E">
        <w:rPr>
          <w:color w:val="000000"/>
        </w:rPr>
        <w:t xml:space="preserve">, </w:t>
      </w:r>
      <w:r w:rsidR="00E5457C">
        <w:rPr>
          <w:color w:val="000000"/>
        </w:rPr>
        <w:t>bunun da</w:t>
      </w:r>
      <w:r w:rsidRPr="00AE0C6E">
        <w:rPr>
          <w:color w:val="000000"/>
        </w:rPr>
        <w:t xml:space="preserve"> mültecileri hukuki bir limbo durumuna </w:t>
      </w:r>
      <w:r w:rsidR="00E5457C">
        <w:rPr>
          <w:color w:val="000000"/>
        </w:rPr>
        <w:t>sürüklediği açıkça ortadır</w:t>
      </w:r>
      <w:r w:rsidRPr="00AE0C6E">
        <w:rPr>
          <w:color w:val="000000"/>
        </w:rPr>
        <w:t>. Bu durum</w:t>
      </w:r>
      <w:r w:rsidR="00E5457C">
        <w:rPr>
          <w:color w:val="000000"/>
        </w:rPr>
        <w:t xml:space="preserve"> aynı zamanda </w:t>
      </w:r>
      <w:r w:rsidRPr="00AE0C6E">
        <w:rPr>
          <w:color w:val="000000"/>
        </w:rPr>
        <w:t>mülteciler</w:t>
      </w:r>
      <w:r w:rsidR="004B4A5D">
        <w:rPr>
          <w:color w:val="000000"/>
        </w:rPr>
        <w:t>e</w:t>
      </w:r>
      <w:r w:rsidRPr="00AE0C6E">
        <w:rPr>
          <w:color w:val="000000"/>
        </w:rPr>
        <w:t xml:space="preserve"> kayıt dışı ekonomi</w:t>
      </w:r>
      <w:r w:rsidR="004B4A5D">
        <w:rPr>
          <w:color w:val="000000"/>
        </w:rPr>
        <w:t>nin</w:t>
      </w:r>
      <w:r w:rsidRPr="00AE0C6E">
        <w:rPr>
          <w:color w:val="000000"/>
        </w:rPr>
        <w:t xml:space="preserve"> ve emek sömürüsü</w:t>
      </w:r>
      <w:r w:rsidR="004B4A5D">
        <w:rPr>
          <w:color w:val="000000"/>
        </w:rPr>
        <w:t>nün insanlık</w:t>
      </w:r>
      <w:r w:rsidR="0056733B">
        <w:rPr>
          <w:color w:val="000000"/>
        </w:rPr>
        <w:t xml:space="preserve"> </w:t>
      </w:r>
      <w:r w:rsidR="004B4A5D">
        <w:rPr>
          <w:color w:val="000000"/>
        </w:rPr>
        <w:t>dışı koşullarını dayatıyor</w:t>
      </w:r>
      <w:r w:rsidRPr="00AE0C6E">
        <w:rPr>
          <w:color w:val="000000"/>
        </w:rPr>
        <w:t xml:space="preserve">, özellikle </w:t>
      </w:r>
      <w:r w:rsidR="004B4A5D">
        <w:rPr>
          <w:color w:val="000000"/>
        </w:rPr>
        <w:t xml:space="preserve">de </w:t>
      </w:r>
      <w:r w:rsidRPr="00AE0C6E">
        <w:rPr>
          <w:color w:val="000000"/>
        </w:rPr>
        <w:t>kadın ve çocukları insan kaçakçılığı</w:t>
      </w:r>
      <w:r w:rsidR="00E5457C">
        <w:rPr>
          <w:color w:val="000000"/>
        </w:rPr>
        <w:t xml:space="preserve"> mağduriyeti</w:t>
      </w:r>
      <w:r w:rsidRPr="00AE0C6E">
        <w:rPr>
          <w:color w:val="000000"/>
        </w:rPr>
        <w:t xml:space="preserve"> riskiyle</w:t>
      </w:r>
      <w:r w:rsidR="004B4A5D">
        <w:rPr>
          <w:color w:val="000000"/>
        </w:rPr>
        <w:t xml:space="preserve"> yüz yüze bırakıyor</w:t>
      </w:r>
      <w:r w:rsidRPr="00AE0C6E">
        <w:rPr>
          <w:color w:val="000000"/>
        </w:rPr>
        <w:t>.</w:t>
      </w:r>
    </w:p>
    <w:p w14:paraId="082B29D6" w14:textId="04B8B2B8" w:rsidR="00AE0C6E" w:rsidRPr="00AE0C6E" w:rsidRDefault="00AE0C6E" w:rsidP="008F0387">
      <w:pPr>
        <w:spacing w:before="100" w:beforeAutospacing="1" w:after="100" w:afterAutospacing="1"/>
        <w:jc w:val="both"/>
        <w:rPr>
          <w:color w:val="000000"/>
        </w:rPr>
      </w:pPr>
      <w:r w:rsidRPr="00AE0C6E">
        <w:rPr>
          <w:color w:val="000000"/>
        </w:rPr>
        <w:t xml:space="preserve">Mültecilerin hayati sağlık sorunlarına rağmen sağlığa erişimden mahrum bırakılmaları, statü iptallerinin yıkıcı sonuçlarını açıkça ortaya koymaktadır. TİHV ve </w:t>
      </w:r>
      <w:proofErr w:type="spellStart"/>
      <w:r w:rsidRPr="00AE0C6E">
        <w:rPr>
          <w:color w:val="000000"/>
        </w:rPr>
        <w:t>İHD’ye</w:t>
      </w:r>
      <w:proofErr w:type="spellEnd"/>
      <w:r w:rsidRPr="00AE0C6E">
        <w:rPr>
          <w:color w:val="000000"/>
        </w:rPr>
        <w:t xml:space="preserve"> yapılan başvurular</w:t>
      </w:r>
      <w:r w:rsidR="006F7439">
        <w:rPr>
          <w:color w:val="000000"/>
        </w:rPr>
        <w:t>;</w:t>
      </w:r>
      <w:r w:rsidRPr="00AE0C6E">
        <w:rPr>
          <w:color w:val="000000"/>
        </w:rPr>
        <w:t xml:space="preserve"> diyalize bağımlı engelli kişiler, kanser hastaları ve HIV+ bireyler gibi kronik sağlık sorunları olan mültecilerin geçici koruma veya uluslararası koruma statülerinin keyfi şekilde iptal edildiğini ve bu nedenle sağlık hizmetlerinden yoksun bırakıldığını göstermektedir. Bu iptaller, genel sağlık sigortası (GSS) kapsamından çıkarılmalarına yol açarak, hayati tedavilerin kesintiye uğramasına neden olmaktadır. Örneğin, diyaliz tedavisi gören mülteciler ücret</w:t>
      </w:r>
      <w:r w:rsidR="00E5457C">
        <w:rPr>
          <w:color w:val="000000"/>
        </w:rPr>
        <w:t>siz</w:t>
      </w:r>
      <w:r w:rsidRPr="00AE0C6E">
        <w:rPr>
          <w:color w:val="000000"/>
        </w:rPr>
        <w:t xml:space="preserve"> sağlık hizmetlerine erişememekte, kanser hastaları kemoterapi gibi kritik tedavilerden mahrum kalmakta, HIV+ bireyler ise antiretroviral tedavilere ulaşamamaktadır. TİHV ve </w:t>
      </w:r>
      <w:proofErr w:type="spellStart"/>
      <w:r w:rsidRPr="00AE0C6E">
        <w:rPr>
          <w:color w:val="000000"/>
        </w:rPr>
        <w:t>İHD’ye</w:t>
      </w:r>
      <w:proofErr w:type="spellEnd"/>
      <w:r w:rsidRPr="00AE0C6E">
        <w:rPr>
          <w:color w:val="000000"/>
        </w:rPr>
        <w:t xml:space="preserve"> bu konuda çok sayıda başvuru gelmesine rağmen, yalnızca yoğun savunuculuk çabaları ve Uluslararası Af Örgütü’nün acil eylem çağrılarıyla</w:t>
      </w:r>
      <w:r w:rsidR="004B4A5D">
        <w:rPr>
          <w:color w:val="000000"/>
        </w:rPr>
        <w:t xml:space="preserve"> yalnızca</w:t>
      </w:r>
      <w:r w:rsidRPr="00AE0C6E">
        <w:rPr>
          <w:color w:val="000000"/>
        </w:rPr>
        <w:t xml:space="preserve"> birkaç vaka çözüme </w:t>
      </w:r>
      <w:r w:rsidR="006F7439">
        <w:rPr>
          <w:color w:val="000000"/>
        </w:rPr>
        <w:t>kavuş</w:t>
      </w:r>
      <w:r w:rsidR="00DD2F4A">
        <w:rPr>
          <w:color w:val="000000"/>
        </w:rPr>
        <w:t>turul</w:t>
      </w:r>
      <w:r w:rsidR="006F7439">
        <w:rPr>
          <w:color w:val="000000"/>
        </w:rPr>
        <w:t>abilmiş</w:t>
      </w:r>
      <w:r w:rsidRPr="00AE0C6E">
        <w:rPr>
          <w:color w:val="000000"/>
        </w:rPr>
        <w:t xml:space="preserve">, büyük çoğunluğun sesi </w:t>
      </w:r>
      <w:r w:rsidR="00DD2F4A">
        <w:rPr>
          <w:color w:val="000000"/>
        </w:rPr>
        <w:t xml:space="preserve">dahi </w:t>
      </w:r>
      <w:r w:rsidR="006F7439">
        <w:rPr>
          <w:color w:val="000000"/>
        </w:rPr>
        <w:t>duyulamamıştır</w:t>
      </w:r>
      <w:r w:rsidRPr="00AE0C6E">
        <w:rPr>
          <w:color w:val="000000"/>
        </w:rPr>
        <w:t>. Bu durum, statülerin güvencesizliğinin mültecileri nasıl bir hayati risk altına soktuğunu ve Türkiye’nin uluslararası insan hakları yükümlülüklerini</w:t>
      </w:r>
      <w:r w:rsidR="00893099">
        <w:rPr>
          <w:color w:val="000000"/>
        </w:rPr>
        <w:t xml:space="preserve"> sistematik biçimde</w:t>
      </w:r>
      <w:r w:rsidRPr="00AE0C6E">
        <w:rPr>
          <w:color w:val="000000"/>
        </w:rPr>
        <w:t xml:space="preserve"> ihlal ettiğini açıkça ortaya koymaktadır.</w:t>
      </w:r>
    </w:p>
    <w:p w14:paraId="5F5E3DF7" w14:textId="77777777" w:rsidR="004B4A5D" w:rsidRDefault="004B4A5D" w:rsidP="008F0387">
      <w:pPr>
        <w:jc w:val="both"/>
        <w:outlineLvl w:val="3"/>
        <w:rPr>
          <w:b/>
          <w:bCs/>
          <w:color w:val="000000"/>
        </w:rPr>
      </w:pPr>
    </w:p>
    <w:p w14:paraId="7AF0B322" w14:textId="0249AC28" w:rsidR="00AE0C6E" w:rsidRPr="00AE0C6E" w:rsidRDefault="006F7439" w:rsidP="008F0387">
      <w:pPr>
        <w:jc w:val="both"/>
        <w:outlineLvl w:val="3"/>
        <w:rPr>
          <w:b/>
          <w:bCs/>
          <w:color w:val="000000"/>
        </w:rPr>
      </w:pPr>
      <w:r>
        <w:rPr>
          <w:b/>
          <w:bCs/>
          <w:color w:val="000000"/>
        </w:rPr>
        <w:t>Çalışma ve Eğitime</w:t>
      </w:r>
      <w:r w:rsidR="00AE0C6E" w:rsidRPr="00AE0C6E">
        <w:rPr>
          <w:b/>
          <w:bCs/>
          <w:color w:val="000000"/>
        </w:rPr>
        <w:t xml:space="preserve"> Erişim Engelleri</w:t>
      </w:r>
    </w:p>
    <w:p w14:paraId="4A7D9F7D" w14:textId="77777777" w:rsidR="00AB0B74" w:rsidRDefault="00AB0B74" w:rsidP="008F0387">
      <w:pPr>
        <w:jc w:val="both"/>
        <w:rPr>
          <w:color w:val="000000"/>
        </w:rPr>
      </w:pPr>
    </w:p>
    <w:p w14:paraId="7F15089F" w14:textId="5151CEF6" w:rsidR="00AE0C6E" w:rsidRDefault="00AE0C6E" w:rsidP="008F0387">
      <w:pPr>
        <w:jc w:val="both"/>
        <w:rPr>
          <w:color w:val="000000"/>
        </w:rPr>
      </w:pPr>
      <w:r w:rsidRPr="00AE0C6E">
        <w:rPr>
          <w:color w:val="000000"/>
        </w:rPr>
        <w:t xml:space="preserve">Statülerin güvencesizliği, mültecilerin </w:t>
      </w:r>
      <w:r w:rsidR="006F7439">
        <w:rPr>
          <w:color w:val="000000"/>
        </w:rPr>
        <w:t>çalışma ve eğitim</w:t>
      </w:r>
      <w:r w:rsidRPr="00AE0C6E">
        <w:rPr>
          <w:color w:val="000000"/>
        </w:rPr>
        <w:t xml:space="preserve"> yaşamını</w:t>
      </w:r>
      <w:r w:rsidR="006F7439">
        <w:rPr>
          <w:color w:val="000000"/>
        </w:rPr>
        <w:t xml:space="preserve"> da</w:t>
      </w:r>
      <w:r w:rsidRPr="00AE0C6E">
        <w:rPr>
          <w:color w:val="000000"/>
        </w:rPr>
        <w:t xml:space="preserve"> derinden etkiliyor. </w:t>
      </w:r>
      <w:r w:rsidR="006F7439">
        <w:rPr>
          <w:color w:val="000000"/>
        </w:rPr>
        <w:t xml:space="preserve"> İHD ve </w:t>
      </w:r>
      <w:r w:rsidRPr="00AE0C6E">
        <w:rPr>
          <w:color w:val="000000"/>
        </w:rPr>
        <w:t xml:space="preserve">MHM raporları, mültecilerin yalnızca %5’inin resmi çalışma izni alabildiğini, çoğunun kayıt dışı, güvencesiz ve düşük ücretli işlerde çalıştığını gösteriyor. Bu durum, çocuk işçiliğini ve emek sömürüsünü artırıyor. Eğitim alanında, okul çağındaki Suriyeli çocukların yaklaşık </w:t>
      </w:r>
      <w:r w:rsidRPr="00AE0C6E">
        <w:rPr>
          <w:color w:val="000000"/>
        </w:rPr>
        <w:lastRenderedPageBreak/>
        <w:t xml:space="preserve">%30’u, kimlik iptalleri, dil bariyerleri ve yoksulluk nedeniyle eğitim sisteminin dışında kalıyor. Ayrımcılık ve zorbalık, okulu terk oranlarını yükseltiyor. </w:t>
      </w:r>
    </w:p>
    <w:p w14:paraId="12DEF169" w14:textId="77777777" w:rsidR="00B859CC" w:rsidRPr="00AE0C6E" w:rsidRDefault="00B859CC" w:rsidP="008F0387">
      <w:pPr>
        <w:jc w:val="both"/>
        <w:rPr>
          <w:color w:val="000000"/>
        </w:rPr>
      </w:pPr>
    </w:p>
    <w:p w14:paraId="7C2C15E0" w14:textId="77777777" w:rsidR="004B4A5D" w:rsidRDefault="004B4A5D" w:rsidP="008F0387">
      <w:pPr>
        <w:jc w:val="both"/>
        <w:outlineLvl w:val="3"/>
        <w:rPr>
          <w:b/>
          <w:bCs/>
          <w:color w:val="000000"/>
        </w:rPr>
      </w:pPr>
    </w:p>
    <w:p w14:paraId="64F8C3E8" w14:textId="21D825BA" w:rsidR="00AE0C6E" w:rsidRPr="00AE0C6E" w:rsidRDefault="00AE0C6E" w:rsidP="008F0387">
      <w:pPr>
        <w:jc w:val="both"/>
        <w:outlineLvl w:val="3"/>
        <w:rPr>
          <w:b/>
          <w:bCs/>
          <w:color w:val="000000"/>
        </w:rPr>
      </w:pPr>
      <w:r w:rsidRPr="00AE0C6E">
        <w:rPr>
          <w:b/>
          <w:bCs/>
          <w:color w:val="000000"/>
        </w:rPr>
        <w:t>LGBTİ+ Mültecilerin Karşılaştığı Özel Hak İhlalleri</w:t>
      </w:r>
    </w:p>
    <w:p w14:paraId="28F4BA05" w14:textId="77777777" w:rsidR="004B4A5D" w:rsidRDefault="004B4A5D" w:rsidP="008F0387">
      <w:pPr>
        <w:jc w:val="both"/>
        <w:rPr>
          <w:color w:val="000000"/>
        </w:rPr>
      </w:pPr>
    </w:p>
    <w:p w14:paraId="368076C5" w14:textId="38BB9E54" w:rsidR="00AE0C6E" w:rsidRDefault="00AE0C6E" w:rsidP="008F0387">
      <w:pPr>
        <w:jc w:val="both"/>
        <w:rPr>
          <w:color w:val="000000"/>
        </w:rPr>
      </w:pPr>
      <w:r w:rsidRPr="00AE0C6E">
        <w:rPr>
          <w:color w:val="000000"/>
        </w:rPr>
        <w:t>Geçici ve uluslararası koruma rejimlerinin güvencesizliği, tüm mülteciler için temel haklara erişimi zorlaştırırken, LGBTİ+ mülteciler cinsel yönelim ve cinsiyet kimlikleri nedeniyle çok katmanlı ayrımcılık ve güvenlik tehditleriyle karşı karşıya kal</w:t>
      </w:r>
      <w:r w:rsidR="00AB0B74">
        <w:rPr>
          <w:color w:val="000000"/>
        </w:rPr>
        <w:t>ıyor</w:t>
      </w:r>
      <w:r w:rsidRPr="00AE0C6E">
        <w:rPr>
          <w:color w:val="000000"/>
        </w:rPr>
        <w:t xml:space="preserve">. </w:t>
      </w:r>
      <w:proofErr w:type="spellStart"/>
      <w:r w:rsidRPr="00AE0C6E">
        <w:rPr>
          <w:color w:val="000000"/>
        </w:rPr>
        <w:t>MHM’nin</w:t>
      </w:r>
      <w:proofErr w:type="spellEnd"/>
      <w:r w:rsidRPr="00AE0C6E">
        <w:rPr>
          <w:color w:val="000000"/>
        </w:rPr>
        <w:t xml:space="preserve"> “Emniyetsiz Sığınak: Türkiye’de LGBT Mültecilerin Karşılaştıkları Güvenlik Sorunları” </w:t>
      </w:r>
      <w:r w:rsidR="00AB0B74">
        <w:rPr>
          <w:color w:val="000000"/>
        </w:rPr>
        <w:t xml:space="preserve">başlıklı </w:t>
      </w:r>
      <w:r w:rsidRPr="00AE0C6E">
        <w:rPr>
          <w:color w:val="000000"/>
        </w:rPr>
        <w:t>raporuna göre, LGBTİ+ mülteciler uydu kentlerde nefret söylemi, fiziksel ve cinsel şiddet, taciz ve tecavüz gibi ciddi güvenlik tehditleriyle mücadele e</w:t>
      </w:r>
      <w:r w:rsidR="00AB0B74">
        <w:rPr>
          <w:color w:val="000000"/>
        </w:rPr>
        <w:t>diyor</w:t>
      </w:r>
      <w:r w:rsidRPr="00AE0C6E">
        <w:rPr>
          <w:color w:val="000000"/>
        </w:rPr>
        <w:t xml:space="preserve">. </w:t>
      </w:r>
      <w:r w:rsidR="00AB0B74">
        <w:rPr>
          <w:color w:val="000000"/>
        </w:rPr>
        <w:t>LGBTİ+ mültecilerin s</w:t>
      </w:r>
      <w:r w:rsidRPr="00AE0C6E">
        <w:rPr>
          <w:color w:val="000000"/>
        </w:rPr>
        <w:t>ağlık hizmetlerine erişim</w:t>
      </w:r>
      <w:r w:rsidR="00AB0B74">
        <w:rPr>
          <w:color w:val="000000"/>
        </w:rPr>
        <w:t>leri</w:t>
      </w:r>
      <w:r w:rsidRPr="00AE0C6E">
        <w:rPr>
          <w:color w:val="000000"/>
        </w:rPr>
        <w:t xml:space="preserve">, </w:t>
      </w:r>
      <w:r w:rsidR="00AB0B74">
        <w:rPr>
          <w:color w:val="000000"/>
        </w:rPr>
        <w:t xml:space="preserve">yaygın </w:t>
      </w:r>
      <w:proofErr w:type="spellStart"/>
      <w:r w:rsidRPr="00AE0C6E">
        <w:rPr>
          <w:color w:val="000000"/>
        </w:rPr>
        <w:t>homofobik</w:t>
      </w:r>
      <w:proofErr w:type="spellEnd"/>
      <w:r w:rsidRPr="00AE0C6E">
        <w:rPr>
          <w:color w:val="000000"/>
        </w:rPr>
        <w:t xml:space="preserve"> ve </w:t>
      </w:r>
      <w:proofErr w:type="spellStart"/>
      <w:r w:rsidRPr="00AE0C6E">
        <w:rPr>
          <w:color w:val="000000"/>
        </w:rPr>
        <w:t>transfobik</w:t>
      </w:r>
      <w:proofErr w:type="spellEnd"/>
      <w:r w:rsidRPr="00AE0C6E">
        <w:rPr>
          <w:color w:val="000000"/>
        </w:rPr>
        <w:t xml:space="preserve"> tutumlar nedeniyle sıklıkla engelleniyor; özellikle HIV+ bireyler, “kamu sağlığını tehdit” gibi asılsız gerekçelerle damgalanıyor ve sınır dışı </w:t>
      </w:r>
      <w:r w:rsidR="00AB0B74">
        <w:rPr>
          <w:color w:val="000000"/>
        </w:rPr>
        <w:t xml:space="preserve">edilme </w:t>
      </w:r>
      <w:r w:rsidRPr="00AE0C6E">
        <w:rPr>
          <w:color w:val="000000"/>
        </w:rPr>
        <w:t>tehditleriyle karşılaşıyor. Geri Gönderme Merkezleri’nde (GGM), LGBTİ+ mülteciler cinsel yönelim veya cinsiyet kimlikleri nedeniyle hedef haline ge</w:t>
      </w:r>
      <w:r w:rsidR="00AB0B74">
        <w:rPr>
          <w:color w:val="000000"/>
        </w:rPr>
        <w:t>tiril</w:t>
      </w:r>
      <w:r w:rsidRPr="00AE0C6E">
        <w:rPr>
          <w:color w:val="000000"/>
        </w:rPr>
        <w:t xml:space="preserve">iyor, fiziksel ve psikolojik işkenceye maruz kalıyor. Raporda, uydu kentlerdeki sınırlı yaşam alanlarının LGBTİ+ mültecileri gettolara sıkıştırdığı, dil bariyerlerinin ve toplumsal dışlanmanın haklara erişimi daha da zorlaştırdığı belirtiliyor. </w:t>
      </w:r>
      <w:r w:rsidR="006F7439">
        <w:rPr>
          <w:color w:val="000000"/>
        </w:rPr>
        <w:t>V</w:t>
      </w:r>
      <w:r w:rsidRPr="00AE0C6E">
        <w:rPr>
          <w:color w:val="000000"/>
        </w:rPr>
        <w:t>eriler</w:t>
      </w:r>
      <w:r w:rsidR="006F7439">
        <w:rPr>
          <w:color w:val="000000"/>
        </w:rPr>
        <w:t>,</w:t>
      </w:r>
      <w:r w:rsidRPr="00AE0C6E">
        <w:rPr>
          <w:color w:val="000000"/>
        </w:rPr>
        <w:t xml:space="preserve"> LGBTİ+ mültecilerin psikolojik travmalar ve intihar riskiyle karşı karşıya olduğunu, ancak yeterli psikososyal desteğe erişemediklerini ortaya koyuyor. Nitekim yakın zamanda Arnavutköy Geri Gönderme Merkezi de dahil olmak üzere Türkiye’deki bir</w:t>
      </w:r>
      <w:r w:rsidR="006F7439">
        <w:rPr>
          <w:color w:val="000000"/>
        </w:rPr>
        <w:t>den fazla</w:t>
      </w:r>
      <w:r w:rsidRPr="00AE0C6E">
        <w:rPr>
          <w:color w:val="000000"/>
        </w:rPr>
        <w:t xml:space="preserve"> </w:t>
      </w:r>
      <w:proofErr w:type="spellStart"/>
      <w:r w:rsidRPr="00AE0C6E">
        <w:rPr>
          <w:color w:val="000000"/>
        </w:rPr>
        <w:t>GGM’de</w:t>
      </w:r>
      <w:proofErr w:type="spellEnd"/>
      <w:r w:rsidRPr="00AE0C6E">
        <w:rPr>
          <w:color w:val="000000"/>
        </w:rPr>
        <w:t xml:space="preserve"> işkence gördüğünü beyan ederek </w:t>
      </w:r>
      <w:proofErr w:type="spellStart"/>
      <w:r w:rsidR="006F7439">
        <w:rPr>
          <w:color w:val="000000"/>
        </w:rPr>
        <w:t>İHD’ye</w:t>
      </w:r>
      <w:proofErr w:type="spellEnd"/>
      <w:r w:rsidRPr="00AE0C6E">
        <w:rPr>
          <w:color w:val="000000"/>
        </w:rPr>
        <w:t xml:space="preserve"> başvuran bir mülteci, özellikle cinsel yönelim</w:t>
      </w:r>
      <w:r w:rsidR="001E4780">
        <w:rPr>
          <w:color w:val="000000"/>
        </w:rPr>
        <w:t>in</w:t>
      </w:r>
      <w:r w:rsidRPr="00AE0C6E">
        <w:rPr>
          <w:color w:val="000000"/>
        </w:rPr>
        <w:t xml:space="preserve">den ötürü işkence gördüğünü ifade etmiş; akabinde </w:t>
      </w:r>
      <w:r w:rsidR="006E3CC5">
        <w:rPr>
          <w:color w:val="000000"/>
        </w:rPr>
        <w:t xml:space="preserve">kişinin </w:t>
      </w:r>
      <w:r w:rsidRPr="00AE0C6E">
        <w:rPr>
          <w:color w:val="000000"/>
        </w:rPr>
        <w:t>HIV+ olması gerekçe gösterilerek “</w:t>
      </w:r>
      <w:r w:rsidRPr="00AE0C6E">
        <w:rPr>
          <w:i/>
          <w:iCs/>
          <w:color w:val="000000"/>
        </w:rPr>
        <w:t>Kamu Sağlığını Tehdit Eden Hastalık Taşıdığı</w:t>
      </w:r>
      <w:r w:rsidRPr="00AE0C6E">
        <w:rPr>
          <w:color w:val="000000"/>
        </w:rPr>
        <w:t xml:space="preserve">” iddiasıyla hakkında sınır dışı kararı verildiği anlaşılmıştır. Yürütülen hukuki süreçte kişinin sınır dışı edilmesi durdurulmuş olsa </w:t>
      </w:r>
      <w:r w:rsidR="006F7439" w:rsidRPr="00AE0C6E">
        <w:rPr>
          <w:color w:val="000000"/>
        </w:rPr>
        <w:t>da</w:t>
      </w:r>
      <w:r w:rsidRPr="00AE0C6E">
        <w:rPr>
          <w:color w:val="000000"/>
        </w:rPr>
        <w:t xml:space="preserve"> geçici koruma statüsü aktif edilmediğinden sağlığa erişimi halen engellenmektedir. Bu vaka, LGBTİ+ mültecilerin karşılaştığı sistematik damgalama ve hak ihlallerinin çarpıcı bir örneğidir. </w:t>
      </w:r>
    </w:p>
    <w:p w14:paraId="6621A377" w14:textId="77777777" w:rsidR="00B859CC" w:rsidRPr="00AE0C6E" w:rsidRDefault="00B859CC" w:rsidP="008F0387">
      <w:pPr>
        <w:jc w:val="both"/>
        <w:rPr>
          <w:color w:val="000000"/>
        </w:rPr>
      </w:pPr>
    </w:p>
    <w:p w14:paraId="171ED46A" w14:textId="77777777" w:rsidR="00AB0B74" w:rsidRDefault="00AB0B74" w:rsidP="008F0387">
      <w:pPr>
        <w:jc w:val="both"/>
        <w:outlineLvl w:val="3"/>
        <w:rPr>
          <w:b/>
          <w:bCs/>
          <w:color w:val="000000"/>
        </w:rPr>
      </w:pPr>
    </w:p>
    <w:p w14:paraId="79593516" w14:textId="7F7DC5EB" w:rsidR="00AE0C6E" w:rsidRPr="00AE0C6E" w:rsidRDefault="00AE0C6E" w:rsidP="008F0387">
      <w:pPr>
        <w:jc w:val="both"/>
        <w:outlineLvl w:val="3"/>
        <w:rPr>
          <w:b/>
          <w:bCs/>
          <w:color w:val="000000"/>
        </w:rPr>
      </w:pPr>
      <w:r w:rsidRPr="00AE0C6E">
        <w:rPr>
          <w:b/>
          <w:bCs/>
          <w:color w:val="000000"/>
        </w:rPr>
        <w:t>Sosyal Dışlanma ve Ayrımcılık</w:t>
      </w:r>
    </w:p>
    <w:p w14:paraId="34F3D5BC" w14:textId="77777777" w:rsidR="004B4A5D" w:rsidRDefault="004B4A5D" w:rsidP="008F0387">
      <w:pPr>
        <w:jc w:val="both"/>
        <w:rPr>
          <w:color w:val="000000"/>
        </w:rPr>
      </w:pPr>
    </w:p>
    <w:p w14:paraId="3A80BA5F" w14:textId="2A68F8AE" w:rsidR="00C87849" w:rsidRDefault="00AE0C6E" w:rsidP="008F0387">
      <w:pPr>
        <w:jc w:val="both"/>
        <w:rPr>
          <w:color w:val="000000"/>
        </w:rPr>
      </w:pPr>
      <w:r w:rsidRPr="00AE0C6E">
        <w:rPr>
          <w:color w:val="000000"/>
        </w:rPr>
        <w:t xml:space="preserve">Mülteciler, Türkiye’de yaygınlaşan yabancı düşmanlığı ve ayrımcı söylemler nedeniyle toplumsal entegrasyon fırsatlarından yoksun bırakılıyor. </w:t>
      </w:r>
      <w:proofErr w:type="spellStart"/>
      <w:r w:rsidRPr="00AE0C6E">
        <w:rPr>
          <w:color w:val="000000"/>
        </w:rPr>
        <w:t>İHD’nin</w:t>
      </w:r>
      <w:proofErr w:type="spellEnd"/>
      <w:r w:rsidRPr="00AE0C6E">
        <w:rPr>
          <w:color w:val="000000"/>
        </w:rPr>
        <w:t xml:space="preserve"> 2024 </w:t>
      </w:r>
      <w:r w:rsidR="00893099">
        <w:rPr>
          <w:color w:val="000000"/>
        </w:rPr>
        <w:t xml:space="preserve">yılı </w:t>
      </w:r>
      <w:r w:rsidRPr="00AE0C6E">
        <w:rPr>
          <w:color w:val="000000"/>
        </w:rPr>
        <w:t>raporlarına göre, siyasetçilerin sorumsuz söylemleri ve nefret söylemi, mültecileri ırkçı ve ayrımcı eylemlerin hedefi haline getiriyor. LGBTİ+ mülteciler, bu dışlanmayı daha yoğun yaşıyor</w:t>
      </w:r>
      <w:r w:rsidR="006E3CC5">
        <w:rPr>
          <w:color w:val="000000"/>
        </w:rPr>
        <w:t>.</w:t>
      </w:r>
      <w:r w:rsidRPr="00AE0C6E">
        <w:rPr>
          <w:color w:val="000000"/>
        </w:rPr>
        <w:t xml:space="preserve"> MHM raporu, cinsel yönelim ve cinsiyet kimliklerine yönelik nefret suçlarının</w:t>
      </w:r>
      <w:r w:rsidR="00893099">
        <w:rPr>
          <w:color w:val="000000"/>
        </w:rPr>
        <w:t>,</w:t>
      </w:r>
      <w:r w:rsidRPr="00AE0C6E">
        <w:rPr>
          <w:color w:val="000000"/>
        </w:rPr>
        <w:t xml:space="preserve"> şikâyet mekanizmalarının yetersizliği nedeniyle görünmez kaldığını vurguluyor. İş yerlerinde, okullarda ve kamu hizmetlerinde karşılaşılan ayrımcılık, mültecilerin yoksulluğunu ve güvencesizliğini derinleştiriyor. </w:t>
      </w:r>
      <w:r w:rsidR="006F7439">
        <w:rPr>
          <w:color w:val="000000"/>
        </w:rPr>
        <w:t xml:space="preserve">Sonuç olarak, </w:t>
      </w:r>
      <w:r w:rsidRPr="00AE0C6E">
        <w:rPr>
          <w:color w:val="000000"/>
        </w:rPr>
        <w:t>Cenevre Sözleşmesi’ne ko</w:t>
      </w:r>
      <w:r w:rsidR="006E3CC5">
        <w:rPr>
          <w:color w:val="000000"/>
        </w:rPr>
        <w:t>y</w:t>
      </w:r>
      <w:r w:rsidRPr="00AE0C6E">
        <w:rPr>
          <w:color w:val="000000"/>
        </w:rPr>
        <w:t xml:space="preserve">ulan coğrafi çekince, geçici koruma </w:t>
      </w:r>
      <w:r w:rsidR="006F7439">
        <w:rPr>
          <w:color w:val="000000"/>
        </w:rPr>
        <w:t xml:space="preserve">ve uluslararası koruma </w:t>
      </w:r>
      <w:r w:rsidRPr="00AE0C6E">
        <w:rPr>
          <w:color w:val="000000"/>
        </w:rPr>
        <w:t>süreçlerinin</w:t>
      </w:r>
      <w:r w:rsidR="006F7439">
        <w:rPr>
          <w:color w:val="000000"/>
        </w:rPr>
        <w:t xml:space="preserve"> keyfiliği ve </w:t>
      </w:r>
      <w:r w:rsidR="006F7439" w:rsidRPr="00AE0C6E">
        <w:rPr>
          <w:color w:val="000000"/>
        </w:rPr>
        <w:t>adaletsizliği</w:t>
      </w:r>
      <w:r w:rsidRPr="00AE0C6E">
        <w:rPr>
          <w:color w:val="000000"/>
        </w:rPr>
        <w:t xml:space="preserve">, Türkiye’nin çevresindeki savaş ve zulüm ortamıyla birleştiğinde, mültecileri bir çıkmaza sürüklüyor. Geri dönmeleri </w:t>
      </w:r>
      <w:r w:rsidR="001E4780">
        <w:rPr>
          <w:color w:val="000000"/>
        </w:rPr>
        <w:t xml:space="preserve">halinde can güvenlikleri tehdit altında olduğu için gönderilmeleri </w:t>
      </w:r>
      <w:r w:rsidRPr="00AE0C6E">
        <w:rPr>
          <w:color w:val="000000"/>
        </w:rPr>
        <w:t xml:space="preserve">imkânsız olan bu insanlar, Türkiye’de kalıcı bir güvenlik ve onurlu bir yaşam hakkından mahrum bırakılıyor. </w:t>
      </w:r>
      <w:proofErr w:type="spellStart"/>
      <w:r w:rsidRPr="00AE0C6E">
        <w:rPr>
          <w:color w:val="000000"/>
        </w:rPr>
        <w:t>İHD’ye</w:t>
      </w:r>
      <w:proofErr w:type="spellEnd"/>
      <w:r w:rsidRPr="00AE0C6E">
        <w:rPr>
          <w:color w:val="000000"/>
        </w:rPr>
        <w:t xml:space="preserve"> yapılan 148 başvuru ve işkence gördüklerini beyan ederek </w:t>
      </w:r>
      <w:proofErr w:type="spellStart"/>
      <w:r w:rsidRPr="00AE0C6E">
        <w:rPr>
          <w:color w:val="000000"/>
        </w:rPr>
        <w:t>TİHV’e</w:t>
      </w:r>
      <w:proofErr w:type="spellEnd"/>
      <w:r w:rsidRPr="00AE0C6E">
        <w:rPr>
          <w:color w:val="000000"/>
        </w:rPr>
        <w:t xml:space="preserve"> başvuran onlarca kişi bu ihlallerin yalnızca bir kısmını yansıtıyor; özellikle LGBTİ+ mülteciler, çok katmanlı ayrımcılık ve güvenlik tehditleriyle mücadele ediyor. Bu durum, Türkiye’nin İnsan Hakları Evrensel </w:t>
      </w:r>
      <w:r w:rsidRPr="00AE0C6E">
        <w:rPr>
          <w:color w:val="000000"/>
        </w:rPr>
        <w:lastRenderedPageBreak/>
        <w:t>Beyannamesi ve uluslararası insan hakları yükümlülüklerine aykırı olup, mültecilere yönelik sistematik ihlallerin temelini oluşturuyor.</w:t>
      </w:r>
    </w:p>
    <w:p w14:paraId="156E5266" w14:textId="77777777" w:rsidR="00E95DCA" w:rsidRDefault="00E95DCA" w:rsidP="008F0387">
      <w:pPr>
        <w:jc w:val="both"/>
        <w:rPr>
          <w:color w:val="000000"/>
        </w:rPr>
      </w:pPr>
    </w:p>
    <w:p w14:paraId="3B584BE6" w14:textId="77777777" w:rsidR="004B4A5D" w:rsidRDefault="004B4A5D" w:rsidP="008F0387">
      <w:pPr>
        <w:jc w:val="both"/>
        <w:outlineLvl w:val="1"/>
        <w:rPr>
          <w:b/>
          <w:bCs/>
          <w:color w:val="000000"/>
          <w:sz w:val="36"/>
          <w:szCs w:val="36"/>
        </w:rPr>
      </w:pPr>
    </w:p>
    <w:p w14:paraId="6CCF1AE3" w14:textId="7A76D1B7" w:rsidR="008D062F" w:rsidRPr="008D062F" w:rsidRDefault="008D062F" w:rsidP="008F0387">
      <w:pPr>
        <w:jc w:val="both"/>
        <w:outlineLvl w:val="1"/>
        <w:rPr>
          <w:b/>
          <w:bCs/>
          <w:color w:val="000000"/>
          <w:sz w:val="36"/>
          <w:szCs w:val="36"/>
        </w:rPr>
      </w:pPr>
      <w:r w:rsidRPr="008D062F">
        <w:rPr>
          <w:b/>
          <w:bCs/>
          <w:color w:val="000000"/>
          <w:sz w:val="36"/>
          <w:szCs w:val="36"/>
        </w:rPr>
        <w:t>Kapalı Kapılar Ardında: İdari Gözetim ve Geri Gönderme Merkezlerinde İnsan Hakları İhlalleri</w:t>
      </w:r>
    </w:p>
    <w:p w14:paraId="1FDC1A00" w14:textId="77777777" w:rsidR="004B4A5D" w:rsidRDefault="004B4A5D" w:rsidP="008F0387">
      <w:pPr>
        <w:jc w:val="both"/>
        <w:rPr>
          <w:color w:val="000000"/>
        </w:rPr>
      </w:pPr>
    </w:p>
    <w:p w14:paraId="60475612" w14:textId="1819025B" w:rsidR="008D062F" w:rsidRPr="008D062F" w:rsidRDefault="008D062F" w:rsidP="008F0387">
      <w:pPr>
        <w:jc w:val="both"/>
        <w:rPr>
          <w:color w:val="000000"/>
        </w:rPr>
      </w:pPr>
      <w:r w:rsidRPr="008D062F">
        <w:rPr>
          <w:color w:val="000000"/>
        </w:rPr>
        <w:t xml:space="preserve">Türkiye’de mülteciler ve göçmenler açısından en ağır insan hakları ihlallerinin yaşandığı alanlardan biri, idari gözetim uygulamaları ve bu uygulamaların yürütüldüğü geri gönderme merkezleridir. Hukuki çerçevede, sınır dışı işlemleri öncesinde </w:t>
      </w:r>
      <w:r>
        <w:rPr>
          <w:color w:val="000000"/>
        </w:rPr>
        <w:t>mültecilerin</w:t>
      </w:r>
      <w:r w:rsidRPr="008D062F">
        <w:rPr>
          <w:color w:val="000000"/>
        </w:rPr>
        <w:t xml:space="preserve"> geçici olarak alıko</w:t>
      </w:r>
      <w:r w:rsidR="006E3CC5">
        <w:rPr>
          <w:color w:val="000000"/>
        </w:rPr>
        <w:t>y</w:t>
      </w:r>
      <w:r w:rsidRPr="008D062F">
        <w:rPr>
          <w:color w:val="000000"/>
        </w:rPr>
        <w:t>ulduğu idari tedbirler olarak tanımlansa da uygulamada bu merkezler sistematik hak ihlallerinin, keyfi kapatmaların ve görünmezliğin kurumsallaştığı mekânlara dönüşmüştür.</w:t>
      </w:r>
    </w:p>
    <w:p w14:paraId="2BBDE80D" w14:textId="6C60B6D9" w:rsidR="008D062F" w:rsidRPr="008D062F" w:rsidRDefault="008D062F" w:rsidP="008F0387">
      <w:pPr>
        <w:spacing w:before="100" w:beforeAutospacing="1" w:after="100" w:afterAutospacing="1"/>
        <w:jc w:val="both"/>
        <w:rPr>
          <w:color w:val="000000"/>
        </w:rPr>
      </w:pPr>
      <w:r w:rsidRPr="008D062F">
        <w:rPr>
          <w:color w:val="000000"/>
        </w:rPr>
        <w:t xml:space="preserve">İdari gözetim uygulamaları, kişilerin özgürlüklerinden uzun süreli yoksun bırakılmasına neden olmakta; </w:t>
      </w:r>
      <w:r>
        <w:rPr>
          <w:color w:val="000000"/>
        </w:rPr>
        <w:t>kişiler</w:t>
      </w:r>
      <w:r w:rsidRPr="008D062F">
        <w:rPr>
          <w:color w:val="000000"/>
        </w:rPr>
        <w:t xml:space="preserve"> genellikle </w:t>
      </w:r>
      <w:r w:rsidRPr="008D062F">
        <w:rPr>
          <w:b/>
          <w:bCs/>
          <w:color w:val="000000"/>
        </w:rPr>
        <w:t>hiçbir yargı süreci işletilmeden</w:t>
      </w:r>
      <w:r w:rsidRPr="008D062F">
        <w:rPr>
          <w:color w:val="000000"/>
        </w:rPr>
        <w:t xml:space="preserve">, sadece kimlik kontrolleri ya da sokaktan toplanma gibi </w:t>
      </w:r>
      <w:r w:rsidR="00315492">
        <w:rPr>
          <w:color w:val="000000"/>
        </w:rPr>
        <w:t>yöntemlerle</w:t>
      </w:r>
      <w:r w:rsidRPr="008D062F">
        <w:rPr>
          <w:color w:val="000000"/>
        </w:rPr>
        <w:t xml:space="preserve"> alıkonulmaktadır. Hukuki yardım çoğu zaman sağlanmamakta, alınan kararlar tebliğ edilmemekte;</w:t>
      </w:r>
      <w:r w:rsidR="00315492">
        <w:rPr>
          <w:color w:val="000000"/>
        </w:rPr>
        <w:t xml:space="preserve"> kişiler</w:t>
      </w:r>
      <w:r w:rsidRPr="008D062F">
        <w:rPr>
          <w:color w:val="000000"/>
        </w:rPr>
        <w:t xml:space="preserve"> neden tutulduklarını, haklarındaki işlemlerin ne </w:t>
      </w:r>
      <w:r w:rsidR="00315492" w:rsidRPr="00315492">
        <w:rPr>
          <w:color w:val="000000"/>
        </w:rPr>
        <w:t>olduğunu</w:t>
      </w:r>
      <w:r w:rsidR="001E4780">
        <w:rPr>
          <w:color w:val="000000"/>
        </w:rPr>
        <w:t xml:space="preserve"> ve</w:t>
      </w:r>
      <w:r w:rsidRPr="008D062F">
        <w:rPr>
          <w:color w:val="000000"/>
        </w:rPr>
        <w:t xml:space="preserve"> ne zaman serbest bırakılacaklarını bilmemekte, süreç tamamen muğlak biçimde yürütülmektedir. Bu </w:t>
      </w:r>
      <w:r w:rsidR="00315492" w:rsidRPr="00315492">
        <w:rPr>
          <w:color w:val="000000"/>
        </w:rPr>
        <w:t>uygulamalar</w:t>
      </w:r>
      <w:r w:rsidRPr="008D062F">
        <w:rPr>
          <w:color w:val="000000"/>
        </w:rPr>
        <w:t xml:space="preserve"> hem hukuki özneliği ortadan kaldırmakta hem de idari gözetimi fiilen bir kapatılma rejimine dönüştürmektedir.</w:t>
      </w:r>
    </w:p>
    <w:p w14:paraId="2F7C09B3" w14:textId="34AC4B9C" w:rsidR="008D062F" w:rsidRPr="008D062F" w:rsidRDefault="008D062F" w:rsidP="008F0387">
      <w:pPr>
        <w:spacing w:before="100" w:beforeAutospacing="1" w:after="100" w:afterAutospacing="1"/>
        <w:jc w:val="both"/>
        <w:rPr>
          <w:color w:val="000000"/>
        </w:rPr>
      </w:pPr>
      <w:r w:rsidRPr="008D062F">
        <w:rPr>
          <w:color w:val="000000"/>
        </w:rPr>
        <w:t>Türkiye’de 2024</w:t>
      </w:r>
      <w:r w:rsidR="00893099">
        <w:rPr>
          <w:color w:val="000000"/>
        </w:rPr>
        <w:t xml:space="preserve"> yılının</w:t>
      </w:r>
      <w:r w:rsidRPr="008D062F">
        <w:rPr>
          <w:color w:val="000000"/>
        </w:rPr>
        <w:t xml:space="preserve"> ilk sekiz ayında</w:t>
      </w:r>
      <w:r w:rsidR="006E3CC5">
        <w:rPr>
          <w:color w:val="000000"/>
        </w:rPr>
        <w:t>,</w:t>
      </w:r>
      <w:r w:rsidRPr="008D062F">
        <w:rPr>
          <w:color w:val="000000"/>
        </w:rPr>
        <w:t xml:space="preserve"> </w:t>
      </w:r>
      <w:r w:rsidR="006E3CC5">
        <w:rPr>
          <w:b/>
          <w:bCs/>
          <w:color w:val="000000"/>
        </w:rPr>
        <w:t>“</w:t>
      </w:r>
      <w:r w:rsidR="006E3CC5" w:rsidRPr="008D062F">
        <w:rPr>
          <w:b/>
          <w:bCs/>
          <w:color w:val="000000"/>
        </w:rPr>
        <w:t>düzensiz</w:t>
      </w:r>
      <w:r w:rsidR="006E3CC5">
        <w:rPr>
          <w:b/>
          <w:bCs/>
          <w:color w:val="000000"/>
        </w:rPr>
        <w:t>” olarak tabir edilen</w:t>
      </w:r>
      <w:r w:rsidR="006E3CC5" w:rsidRPr="008D062F">
        <w:rPr>
          <w:b/>
          <w:bCs/>
          <w:color w:val="000000"/>
        </w:rPr>
        <w:t xml:space="preserve"> </w:t>
      </w:r>
      <w:r w:rsidRPr="008D062F">
        <w:rPr>
          <w:b/>
          <w:bCs/>
          <w:color w:val="000000"/>
        </w:rPr>
        <w:t>126.766 göçmen</w:t>
      </w:r>
      <w:r w:rsidR="006E3CC5">
        <w:rPr>
          <w:b/>
          <w:bCs/>
          <w:color w:val="000000"/>
        </w:rPr>
        <w:t xml:space="preserve">in </w:t>
      </w:r>
      <w:r w:rsidRPr="008D062F">
        <w:rPr>
          <w:color w:val="000000"/>
        </w:rPr>
        <w:t xml:space="preserve">büyük bir bölümü doğrudan Geri Gönderme Merkezlerine sevk edilmiştir. 2016–2022 yılları arasında </w:t>
      </w:r>
      <w:r w:rsidRPr="008D062F">
        <w:rPr>
          <w:b/>
          <w:bCs/>
          <w:color w:val="000000"/>
        </w:rPr>
        <w:t>sınır dışı edilen kişi sayısı 320.172’ye</w:t>
      </w:r>
      <w:r w:rsidRPr="008D062F">
        <w:rPr>
          <w:color w:val="000000"/>
        </w:rPr>
        <w:t xml:space="preserve"> ulaşmıştır. Bu veriler, idari gözetimin Türkiye’de artık istisnai değil, olağan ve yaygın bir uygulamaya dönüştüğünü göstermektedir.</w:t>
      </w:r>
    </w:p>
    <w:p w14:paraId="6AFD07CA" w14:textId="46312FF3" w:rsidR="008D062F" w:rsidRPr="008D062F" w:rsidRDefault="008D062F" w:rsidP="008F0387">
      <w:pPr>
        <w:spacing w:before="100" w:beforeAutospacing="1" w:after="100" w:afterAutospacing="1"/>
        <w:jc w:val="both"/>
        <w:rPr>
          <w:color w:val="000000"/>
        </w:rPr>
      </w:pPr>
      <w:r w:rsidRPr="008D062F">
        <w:rPr>
          <w:color w:val="000000"/>
        </w:rPr>
        <w:t xml:space="preserve">Geri gönderme merkezlerine alınan </w:t>
      </w:r>
      <w:r w:rsidR="00315492">
        <w:rPr>
          <w:color w:val="000000"/>
        </w:rPr>
        <w:t>mülteciler</w:t>
      </w:r>
      <w:r w:rsidRPr="008D062F">
        <w:rPr>
          <w:color w:val="000000"/>
        </w:rPr>
        <w:t>, çoğu zaman mahkeme kararı olmaksızın, gerekçesi belirtilmeden, herhangi bir suç isnadı dahi olmadan alıkonulmaktadır. Alıkonulma süreci içerisinde hukuki yardım alma, avukatla görüşme, dış dünyayla iletişim kurma gibi temel haklar ciddi biçimde kısıtlanmakta; kişiler neredeyse tamamen izole edilmiş bir durumda bırakılmaktadır. Alıko</w:t>
      </w:r>
      <w:r w:rsidR="006E3CC5">
        <w:rPr>
          <w:color w:val="000000"/>
        </w:rPr>
        <w:t>y</w:t>
      </w:r>
      <w:r w:rsidRPr="008D062F">
        <w:rPr>
          <w:color w:val="000000"/>
        </w:rPr>
        <w:t>ulan kişilere sıklıkla </w:t>
      </w:r>
      <w:r w:rsidRPr="008D062F">
        <w:rPr>
          <w:b/>
          <w:bCs/>
          <w:color w:val="000000"/>
        </w:rPr>
        <w:t>tercüme yapılmaksızın ve baskı altında “gönüllü geri dönüş” formları imzalatılmakta</w:t>
      </w:r>
      <w:r w:rsidRPr="008D062F">
        <w:rPr>
          <w:color w:val="000000"/>
        </w:rPr>
        <w:t>, bu formlar sınır dışı işlemlerinin dayanağı haline getirilmektedir. Bu süreçte geri göndermeme (</w:t>
      </w:r>
      <w:proofErr w:type="spellStart"/>
      <w:r w:rsidRPr="00F90CA9">
        <w:rPr>
          <w:i/>
          <w:iCs/>
          <w:color w:val="000000"/>
        </w:rPr>
        <w:t>non-refoulement</w:t>
      </w:r>
      <w:proofErr w:type="spellEnd"/>
      <w:r w:rsidRPr="008D062F">
        <w:rPr>
          <w:color w:val="000000"/>
        </w:rPr>
        <w:t>) ilkesi ciddi şekilde ihlal edilmekte; mülteciler, hayatlarının risk altında olduğu ülkelere hukuki süreç işletilmeden gönderilmektedir.</w:t>
      </w:r>
      <w:r w:rsidR="006E3CC5">
        <w:rPr>
          <w:color w:val="000000"/>
        </w:rPr>
        <w:t xml:space="preserve"> </w:t>
      </w:r>
      <w:r w:rsidRPr="008D062F">
        <w:rPr>
          <w:color w:val="000000"/>
        </w:rPr>
        <w:t xml:space="preserve">Türkiye genelinde </w:t>
      </w:r>
      <w:r w:rsidR="00315492">
        <w:rPr>
          <w:color w:val="000000"/>
        </w:rPr>
        <w:t>resmi verilere göre, 23 ilde toplam 27</w:t>
      </w:r>
      <w:r w:rsidRPr="008D062F">
        <w:rPr>
          <w:color w:val="000000"/>
        </w:rPr>
        <w:t xml:space="preserve"> geri gönderme merkezi bulunmaktadır. Bu merkezlerin toplam kapasitesi yaklaşık 21.000</w:t>
      </w:r>
      <w:r w:rsidR="006E3CC5">
        <w:rPr>
          <w:color w:val="000000"/>
        </w:rPr>
        <w:t>’dir</w:t>
      </w:r>
      <w:r w:rsidRPr="008D062F">
        <w:rPr>
          <w:color w:val="000000"/>
        </w:rPr>
        <w:t>. Ancak kamuoyuyla paylaşılan güncel veriler yetersizdir. Bu merkezlerde hâlihazırda kaç kişinin tutulduğu, bu kişilerin statüleri, yaş ve cinsiyet dağılımları hakkında şeffaf bilgi sunulmamaktadır. </w:t>
      </w:r>
      <w:r w:rsidRPr="008D062F">
        <w:rPr>
          <w:b/>
          <w:bCs/>
          <w:color w:val="000000"/>
        </w:rPr>
        <w:t>Özellikle çocuklara dair veri yokluğu</w:t>
      </w:r>
      <w:r w:rsidRPr="008D062F">
        <w:rPr>
          <w:color w:val="000000"/>
        </w:rPr>
        <w:t> dikkat çekicidir. Türkiye’de kaç çocuğun geri gönderme merkezlerinde tutulduğuna dair hiçbir resmi, düzenli ve erişilebilir veri bulunmamaktadır. Buna karşın </w:t>
      </w:r>
      <w:r w:rsidRPr="008D062F">
        <w:rPr>
          <w:b/>
          <w:bCs/>
          <w:color w:val="000000"/>
        </w:rPr>
        <w:t>başvurular ve tanıklıklar</w:t>
      </w:r>
      <w:r w:rsidRPr="008D062F">
        <w:rPr>
          <w:color w:val="000000"/>
        </w:rPr>
        <w:t>, çocukların bu merkezlerde tutulduğunu açıkça göstermektedir. Mülteci Hakları Merkezi’nin “Göç Bağlamında Çocukların İdari Gözetimi” raporu ile BM Çocuk Hakları Komitesi’nin değerlendirmeleri, çocukların kapalı ve travmatik koşullarda tutulduğunu, eğitim ve sağlığa erişimlerinin engellendiğini, psikososyal destekten yoksun bırakıldıklarını ortaya koymaktadır.</w:t>
      </w:r>
    </w:p>
    <w:p w14:paraId="03434A61" w14:textId="680945CE" w:rsidR="00D23A81" w:rsidRDefault="00D23A81" w:rsidP="008F0387">
      <w:pPr>
        <w:pStyle w:val="NormalWeb"/>
        <w:jc w:val="both"/>
        <w:rPr>
          <w:color w:val="000000"/>
        </w:rPr>
      </w:pPr>
      <w:r>
        <w:rPr>
          <w:color w:val="000000"/>
        </w:rPr>
        <w:lastRenderedPageBreak/>
        <w:t xml:space="preserve">Geri gönderme merkezlerinde yaşanan hak ihlalleri, yıllardır sahadan elde edilen başvurular, tanıklıklar ve izleme çalışmaları aracılığıyla çok sayıda insan hakları örgütü tarafından belgelenmektedir. Türkiye İnsan Hakları Vakfı (TİHV), İnsan Hakları Derneği (İHD), Uluslararası Af Örgütü, Mülteci Hakları Merkezi (MHM), Avrupa’daki Mülteci ve Sürgündekiler Konseyi (ECRE) ve </w:t>
      </w:r>
      <w:proofErr w:type="spellStart"/>
      <w:r>
        <w:rPr>
          <w:color w:val="000000"/>
        </w:rPr>
        <w:t>Asylum</w:t>
      </w:r>
      <w:proofErr w:type="spellEnd"/>
      <w:r>
        <w:rPr>
          <w:color w:val="000000"/>
        </w:rPr>
        <w:t xml:space="preserve"> Information Database (AIDA) tarafından yayınlanan raporlar ve tespitlerde bu ihlaller, çok sayıda örnek ve somut vaka üzerinden detaylı biçimde aktarılmaktadır. Belgelenen ihlaller arasında; fiziksel şiddet, psikolojik baskı, cinsel taciz, tecrit uygulamaları, avukata erişimin engellenmesi, kötü beslenme ve hijyen koşulları, sağlık hizmetlerinden mahrumiyet ve kişilere zorla imzalatılan </w:t>
      </w:r>
      <w:proofErr w:type="spellStart"/>
      <w:r>
        <w:rPr>
          <w:color w:val="000000"/>
        </w:rPr>
        <w:t>tercümesiz</w:t>
      </w:r>
      <w:proofErr w:type="spellEnd"/>
      <w:r>
        <w:rPr>
          <w:color w:val="000000"/>
        </w:rPr>
        <w:t xml:space="preserve"> evraklar öne çıkmaktadır. TİHV ve </w:t>
      </w:r>
      <w:proofErr w:type="spellStart"/>
      <w:r>
        <w:rPr>
          <w:color w:val="000000"/>
        </w:rPr>
        <w:t>İHD’ye</w:t>
      </w:r>
      <w:proofErr w:type="spellEnd"/>
      <w:r>
        <w:rPr>
          <w:color w:val="000000"/>
        </w:rPr>
        <w:t xml:space="preserve"> yapılan başvurularda, geri gönderme merkezlerinde sağlık hizmeti talep eden kişilerin bu talepleri nedeniyle cezalandırıldığı, fiziksel ve psikolojik işkenceye maruz kaldıkları, kimlikleri keyfi biçimde iptal edilerek hukuken statüsüz bırakılan mültecilerin sokaktan ya da kayıtlı oldukları il dışına çıkarken rastgele toplanarak bu merkezlerde aylarca tutuldukları ve diğer birçok işkence ve kötü muamele öyküsü aktarılmaktadır. Uluslararası Af Örgütü, 2023 Türkiye raporunda, bu merkezlerde avukata erişimin sistematik biçimde engellendiğini, kişilerin dış dünyayla iletişiminin kesildiğini ve fiilen “hukuki boşluk” içinde tutulduklarını vurgulamaktadır. AIDA raporları da özellikle LGBTİ+ bireylerin bu merkezlerde ayrımcılığa, cinsel yönelim ve cinsiyet kimliği temelli şiddete, istismara ve sınır dışı tehdidine karşı daha savunmasız olduğunu açıkça ortaya koymaktadır. Ayrıca, BM İşkenceye Karşı Komite’nin (CAT) 14 Ağustos 2024 tarihli “</w:t>
      </w:r>
      <w:r w:rsidRPr="00D23A81">
        <w:rPr>
          <w:i/>
          <w:iCs/>
          <w:color w:val="000000"/>
        </w:rPr>
        <w:t xml:space="preserve">Türkiye’nin Beşinci Dönemsel Raporu ile ilgili Sonuç </w:t>
      </w:r>
      <w:proofErr w:type="spellStart"/>
      <w:r w:rsidRPr="00D23A81">
        <w:rPr>
          <w:i/>
          <w:iCs/>
          <w:color w:val="000000"/>
        </w:rPr>
        <w:t>Gözlemleri”</w:t>
      </w:r>
      <w:r>
        <w:rPr>
          <w:color w:val="000000"/>
        </w:rPr>
        <w:t>nin</w:t>
      </w:r>
      <w:proofErr w:type="spellEnd"/>
      <w:r>
        <w:rPr>
          <w:color w:val="000000"/>
        </w:rPr>
        <w:t xml:space="preserve"> 25. paragrafında, Türkiye’ye bağlayıcı nitelikte tavsiyelerde bulunulmuştur. Komite, Türkiye’nin; işkenceye maruz kalma tehlikesi altında olduğuna inanmak için esaslı nedenler bulunan hiç kimsenin sınır dışı edilemeyeceğini, geri gönderilemeyeceğini veya iade edilemeyeceğini</w:t>
      </w:r>
      <w:r w:rsidR="005C193B">
        <w:rPr>
          <w:color w:val="000000"/>
        </w:rPr>
        <w:t>,</w:t>
      </w:r>
      <w:r>
        <w:rPr>
          <w:color w:val="000000"/>
        </w:rPr>
        <w:t xml:space="preserve"> yasada ve uygulamada güvence altına almasını, usul güvencelerine etkili erişimi sağlamasını, kolluk görevlilerinin aşırı güç kullanımına dair iddiaların hızlı, tarafsız, bağımsız ve etkili soruşturmalarla incelenmesini, sınır dışı amaçlı alıkoymaların yalnızca son çare olarak ve kısa süreli uygulanmasını, çocukların ve çocuklu ailelerin göçmenlik durumları nedeniyle alıko</w:t>
      </w:r>
      <w:r w:rsidR="005C193B">
        <w:rPr>
          <w:color w:val="000000"/>
        </w:rPr>
        <w:t>y</w:t>
      </w:r>
      <w:r>
        <w:rPr>
          <w:color w:val="000000"/>
        </w:rPr>
        <w:t xml:space="preserve">ulmamasını ve 1951 Cenevre Sözleşmesi’ne koyduğu coğrafi çekinceyi kaldırmayı değerlendirmesini talep etmiştir. Komite, bu tavsiyelerle, Türkiye’deki geri gönderme merkezlerinde yaşanan sistematik ihlallerle ilgili endişe ve üzüntüsünü ifade etmiştir. </w:t>
      </w:r>
      <w:r w:rsidRPr="00D23A81">
        <w:rPr>
          <w:b/>
          <w:bCs/>
          <w:color w:val="000000"/>
        </w:rPr>
        <w:t>Bu merkezlerin izlenmesi ve denetlenmesi için ilgili uluslararası standartlarla uyumlu olarak bağımsızlığından şüphe duyulmayan insan hakları mekanizmaları ile insan hakları örgütlerinin</w:t>
      </w:r>
      <w:r>
        <w:rPr>
          <w:color w:val="000000"/>
        </w:rPr>
        <w:t xml:space="preserve"> düzenli ve engelsiz erişimi şarttır.</w:t>
      </w:r>
    </w:p>
    <w:p w14:paraId="69CD0BD4" w14:textId="233D5F8A" w:rsidR="008D062F" w:rsidRPr="008D062F" w:rsidRDefault="008D062F" w:rsidP="008F0387">
      <w:pPr>
        <w:spacing w:before="100" w:beforeAutospacing="1" w:after="100" w:afterAutospacing="1"/>
        <w:jc w:val="both"/>
        <w:rPr>
          <w:color w:val="000000"/>
        </w:rPr>
      </w:pPr>
      <w:r w:rsidRPr="008D062F">
        <w:rPr>
          <w:color w:val="000000"/>
        </w:rPr>
        <w:t>Bu merkezlerin bir diğer ortak özelliği, neredeyse tamamının </w:t>
      </w:r>
      <w:r w:rsidRPr="008D062F">
        <w:rPr>
          <w:b/>
          <w:bCs/>
          <w:color w:val="000000"/>
        </w:rPr>
        <w:t>şehir merkezlerinden uzak, izole alanlara inşa edilmesidir.</w:t>
      </w:r>
      <w:r w:rsidRPr="008D062F">
        <w:rPr>
          <w:color w:val="000000"/>
        </w:rPr>
        <w:t xml:space="preserve"> Bu bilinçli yer seçimi, hem bireylerin dış dünya ile bağını koparmakta hem de </w:t>
      </w:r>
      <w:r w:rsidR="00FF2BEF">
        <w:rPr>
          <w:color w:val="000000"/>
        </w:rPr>
        <w:t>insan hakları örgütleri</w:t>
      </w:r>
      <w:r w:rsidRPr="008D062F">
        <w:rPr>
          <w:color w:val="000000"/>
        </w:rPr>
        <w:t>, avukatlar ve aile üyeleri gibi izleyici aktörlerin erişimini fiilen imkânsızlaştırmaktadır. İstanbul’un Arnavutköy ilçesinde bulunan Geri Gönderme Merkezi bu durumun güncel bir örneğidir. Kent merkezinden oldukça uzak bir noktada yer alan bu merkez, yalnızca ulaşımı değil, aynı zamanda içeride yaşananlara dair </w:t>
      </w:r>
      <w:r w:rsidRPr="008D062F">
        <w:rPr>
          <w:b/>
          <w:bCs/>
          <w:color w:val="000000"/>
        </w:rPr>
        <w:t>şeffaflık ve hesap verebilirlik mekanizmalarının</w:t>
      </w:r>
      <w:r w:rsidRPr="008D062F">
        <w:rPr>
          <w:color w:val="000000"/>
        </w:rPr>
        <w:t> kurulmasını da engellemektedir. Diğer şehirlerdeki geri gönderme merkezlerinin de benzer biçimde kırsal, kapalı ve dış gözetime kapalı bölgelerde konumlandı</w:t>
      </w:r>
      <w:r w:rsidR="005C193B">
        <w:rPr>
          <w:color w:val="000000"/>
        </w:rPr>
        <w:t>rıldı</w:t>
      </w:r>
      <w:r w:rsidRPr="008D062F">
        <w:rPr>
          <w:color w:val="000000"/>
        </w:rPr>
        <w:t>ğı bilinmektedir.</w:t>
      </w:r>
    </w:p>
    <w:p w14:paraId="7A4BB8C0" w14:textId="5A0D24DA" w:rsidR="008D062F" w:rsidRPr="008D062F" w:rsidRDefault="008D062F" w:rsidP="008F0387">
      <w:pPr>
        <w:spacing w:before="100" w:beforeAutospacing="1" w:after="100" w:afterAutospacing="1"/>
        <w:jc w:val="both"/>
        <w:rPr>
          <w:color w:val="000000"/>
        </w:rPr>
      </w:pPr>
      <w:r w:rsidRPr="008D062F">
        <w:rPr>
          <w:color w:val="000000"/>
        </w:rPr>
        <w:t xml:space="preserve">Avrupa Konseyi’ne bağlı İşkenceyi Önleme Komitesi (CPT), 10–29 Eylül 2022 tarihleri arasında Türkiye’ye gerçekleştirdiği ziyarette bazı geri gönderme merkezlerini denetlemiştir. Ancak bu ziyaretler yalnızca sınırlı sayıda merkeze erişimle </w:t>
      </w:r>
      <w:r w:rsidR="00AA0E19">
        <w:rPr>
          <w:color w:val="000000"/>
        </w:rPr>
        <w:t>kısıtlı</w:t>
      </w:r>
      <w:r w:rsidRPr="008D062F">
        <w:rPr>
          <w:color w:val="000000"/>
        </w:rPr>
        <w:t xml:space="preserve"> kalmış; ziyaret raporları </w:t>
      </w:r>
      <w:r w:rsidRPr="008D062F">
        <w:rPr>
          <w:color w:val="000000"/>
        </w:rPr>
        <w:lastRenderedPageBreak/>
        <w:t xml:space="preserve">Türkiye tarafından kamuoyuyla </w:t>
      </w:r>
      <w:r w:rsidR="00AA0E19">
        <w:rPr>
          <w:color w:val="000000"/>
        </w:rPr>
        <w:t>şeffaf bir şekilde</w:t>
      </w:r>
      <w:r w:rsidRPr="008D062F">
        <w:rPr>
          <w:color w:val="000000"/>
        </w:rPr>
        <w:t xml:space="preserve"> paylaşılmamıştır. </w:t>
      </w:r>
      <w:proofErr w:type="spellStart"/>
      <w:r w:rsidRPr="008D062F">
        <w:rPr>
          <w:color w:val="000000"/>
        </w:rPr>
        <w:t>CPT’nin</w:t>
      </w:r>
      <w:proofErr w:type="spellEnd"/>
      <w:r w:rsidRPr="008D062F">
        <w:rPr>
          <w:color w:val="000000"/>
        </w:rPr>
        <w:t xml:space="preserve"> önceki raporlarında olduğu gibi bu ziyarette de </w:t>
      </w:r>
      <w:r w:rsidRPr="008D062F">
        <w:rPr>
          <w:b/>
          <w:bCs/>
          <w:color w:val="000000"/>
        </w:rPr>
        <w:t>mahremiyet ihlalleri, sağlık hizmetlerinin yetersizliği, çocukların izole ve uygunsuz koşullarda tutulması, kişisel eşyaların gasp edilmesi</w:t>
      </w:r>
      <w:r w:rsidRPr="008D062F">
        <w:rPr>
          <w:color w:val="000000"/>
        </w:rPr>
        <w:t xml:space="preserve"> gibi sorunlar vurgulanmıştır. Ancak </w:t>
      </w:r>
      <w:r w:rsidR="00AA0E19">
        <w:rPr>
          <w:color w:val="000000"/>
        </w:rPr>
        <w:t xml:space="preserve">tüm bu tespit ve vurgulara rağmen, </w:t>
      </w:r>
      <w:proofErr w:type="spellStart"/>
      <w:r w:rsidRPr="008D062F">
        <w:rPr>
          <w:color w:val="000000"/>
        </w:rPr>
        <w:t>CPT’nin</w:t>
      </w:r>
      <w:proofErr w:type="spellEnd"/>
      <w:r w:rsidRPr="008D062F">
        <w:rPr>
          <w:color w:val="000000"/>
        </w:rPr>
        <w:t xml:space="preserve"> önerilerinin uygulamaya geçirilmediği, denetim mekanizmasının etkisizleştirildiği açıktır.</w:t>
      </w:r>
    </w:p>
    <w:p w14:paraId="45FB9DCD" w14:textId="5D41755E" w:rsidR="008D062F" w:rsidRPr="008D062F" w:rsidRDefault="008D062F" w:rsidP="008F0387">
      <w:pPr>
        <w:spacing w:before="100" w:beforeAutospacing="1" w:after="100" w:afterAutospacing="1"/>
        <w:jc w:val="both"/>
        <w:rPr>
          <w:color w:val="000000"/>
        </w:rPr>
      </w:pPr>
      <w:r w:rsidRPr="008D062F">
        <w:rPr>
          <w:color w:val="000000"/>
        </w:rPr>
        <w:t xml:space="preserve">Bu merkezlerin büyük çoğunluğu, Avrupa Birliği tarafından </w:t>
      </w:r>
      <w:r w:rsidR="00AA0E19">
        <w:rPr>
          <w:color w:val="000000"/>
        </w:rPr>
        <w:t>finanse edilmektedir</w:t>
      </w:r>
      <w:r w:rsidRPr="008D062F">
        <w:rPr>
          <w:color w:val="000000"/>
        </w:rPr>
        <w:t>. Türkiye, 2007 yılından bu yana Avrupa Birliği’nin Sığınma, Göç ve Uyum Fonu (AMIF) ve diğer mali araçları aracılığıyla yalnızca bu merkezlerin inşası ve işletilmesi için yaklaşık </w:t>
      </w:r>
      <w:r w:rsidRPr="008D062F">
        <w:rPr>
          <w:b/>
          <w:bCs/>
          <w:color w:val="000000"/>
        </w:rPr>
        <w:t xml:space="preserve">213 milyon </w:t>
      </w:r>
      <w:r w:rsidR="00AA0E19">
        <w:rPr>
          <w:b/>
          <w:bCs/>
          <w:color w:val="000000"/>
        </w:rPr>
        <w:t>Euro</w:t>
      </w:r>
      <w:r w:rsidRPr="008D062F">
        <w:rPr>
          <w:color w:val="000000"/>
        </w:rPr>
        <w:t> destek almıştır. Türkiye’nin göç yönetimine dair aldığı toplam AB fonu ise </w:t>
      </w:r>
      <w:r w:rsidRPr="008D062F">
        <w:rPr>
          <w:b/>
          <w:bCs/>
          <w:color w:val="000000"/>
        </w:rPr>
        <w:t xml:space="preserve">1 milyar </w:t>
      </w:r>
      <w:r w:rsidR="00AA0E19">
        <w:rPr>
          <w:b/>
          <w:bCs/>
          <w:color w:val="000000"/>
        </w:rPr>
        <w:t>Euro’ya</w:t>
      </w:r>
      <w:r w:rsidRPr="008D062F">
        <w:rPr>
          <w:b/>
          <w:bCs/>
          <w:color w:val="000000"/>
        </w:rPr>
        <w:t xml:space="preserve"> yaklaşmıştır.</w:t>
      </w:r>
      <w:r w:rsidRPr="008D062F">
        <w:rPr>
          <w:color w:val="000000"/>
        </w:rPr>
        <w:t xml:space="preserve"> Ancak AB tarafından </w:t>
      </w:r>
      <w:r w:rsidR="00AA0E19">
        <w:rPr>
          <w:color w:val="000000"/>
        </w:rPr>
        <w:t>finanse edilen</w:t>
      </w:r>
      <w:r w:rsidRPr="008D062F">
        <w:rPr>
          <w:color w:val="000000"/>
        </w:rPr>
        <w:t xml:space="preserve"> bu merkezlerde yaşanan hak ihlallerine rağmen, fon sağlayıcı kurumlarca etkili bir gözetim ve denetim mekanizması kurulmamıştır. Bu durum, Avrupa Birliği’nin </w:t>
      </w:r>
      <w:r w:rsidR="005C193B">
        <w:rPr>
          <w:color w:val="000000"/>
        </w:rPr>
        <w:t xml:space="preserve">savunduğu </w:t>
      </w:r>
      <w:r w:rsidRPr="008D062F">
        <w:rPr>
          <w:color w:val="000000"/>
        </w:rPr>
        <w:t>insan hakları değerleri ile uygulama</w:t>
      </w:r>
      <w:r w:rsidR="005C193B">
        <w:rPr>
          <w:color w:val="000000"/>
        </w:rPr>
        <w:t>ları</w:t>
      </w:r>
      <w:r w:rsidRPr="008D062F">
        <w:rPr>
          <w:color w:val="000000"/>
        </w:rPr>
        <w:t xml:space="preserve"> arasındaki çelişkiyi derinleştirmekte; fon desteği ile kurumsallaşan ihlallerin görünmez kalmasına neden olmaktadır.</w:t>
      </w:r>
    </w:p>
    <w:p w14:paraId="36121C25" w14:textId="1856DDF8" w:rsidR="008021E6" w:rsidRDefault="008D062F" w:rsidP="008F0387">
      <w:pPr>
        <w:spacing w:before="100" w:beforeAutospacing="1" w:after="100" w:afterAutospacing="1"/>
        <w:jc w:val="both"/>
        <w:rPr>
          <w:color w:val="000000"/>
        </w:rPr>
      </w:pPr>
      <w:r w:rsidRPr="008D062F">
        <w:rPr>
          <w:color w:val="000000"/>
        </w:rPr>
        <w:t xml:space="preserve">Sonuç olarak, Türkiye’deki idari gözetim sistemi ve geri gönderme merkezleri; </w:t>
      </w:r>
      <w:r w:rsidR="00AA0E19">
        <w:rPr>
          <w:color w:val="000000"/>
        </w:rPr>
        <w:t xml:space="preserve">kişilerin </w:t>
      </w:r>
      <w:r w:rsidRPr="008D062F">
        <w:rPr>
          <w:color w:val="000000"/>
        </w:rPr>
        <w:t>özgürlükten yoksun bırak</w:t>
      </w:r>
      <w:r w:rsidR="00AA0E19">
        <w:rPr>
          <w:color w:val="000000"/>
        </w:rPr>
        <w:t>ıldığı</w:t>
      </w:r>
      <w:r w:rsidRPr="008D062F">
        <w:rPr>
          <w:color w:val="000000"/>
        </w:rPr>
        <w:t>, hukuki güvencelerin</w:t>
      </w:r>
      <w:r w:rsidR="00AA0E19">
        <w:rPr>
          <w:color w:val="000000"/>
        </w:rPr>
        <w:t>in</w:t>
      </w:r>
      <w:r w:rsidRPr="008D062F">
        <w:rPr>
          <w:color w:val="000000"/>
        </w:rPr>
        <w:t xml:space="preserve"> ortadan kaldırıl</w:t>
      </w:r>
      <w:r w:rsidR="00AA0E19">
        <w:rPr>
          <w:color w:val="000000"/>
        </w:rPr>
        <w:t>dığı</w:t>
      </w:r>
      <w:r w:rsidRPr="008D062F">
        <w:rPr>
          <w:color w:val="000000"/>
        </w:rPr>
        <w:t xml:space="preserve">, belirsizlik, izolasyon, kötü muamele ve işkencenin kurumsallaştığı, denetimden büyük ölçüde muaf yapılar haline gelmiştir. Ulusal ve uluslararası insan hakları normlarına açıkça aykırı bu sistemin devamı, yalnızca bireysel mağduriyet üretmekle kalmamakta; aynı zamanda yapısal ve politik bir insan hakları krizine işaret etmektedir. Bu merkezlerde yaşanan ihlallerin görünür kılınması, bağımsız denetimlerin sağlanması ve mültecilerin temel haklarının güvence altına </w:t>
      </w:r>
      <w:r w:rsidR="00FF2BEF" w:rsidRPr="008D062F">
        <w:rPr>
          <w:color w:val="000000"/>
        </w:rPr>
        <w:t>alınması</w:t>
      </w:r>
      <w:r w:rsidRPr="008D062F">
        <w:rPr>
          <w:color w:val="000000"/>
        </w:rPr>
        <w:t xml:space="preserve"> hem Türkiye’nin hem de bu yapıları </w:t>
      </w:r>
      <w:r w:rsidR="00AA0E19">
        <w:rPr>
          <w:color w:val="000000"/>
        </w:rPr>
        <w:t>finanse eden</w:t>
      </w:r>
      <w:r w:rsidRPr="008D062F">
        <w:rPr>
          <w:color w:val="000000"/>
        </w:rPr>
        <w:t xml:space="preserve"> uluslararası aktörlerin acil sorumluluğudur.</w:t>
      </w:r>
    </w:p>
    <w:p w14:paraId="35147D12" w14:textId="77777777" w:rsidR="004B4A5D" w:rsidRDefault="004B4A5D" w:rsidP="008F0387">
      <w:pPr>
        <w:jc w:val="both"/>
        <w:outlineLvl w:val="1"/>
        <w:rPr>
          <w:b/>
          <w:bCs/>
          <w:color w:val="000000"/>
          <w:sz w:val="36"/>
          <w:szCs w:val="36"/>
        </w:rPr>
      </w:pPr>
    </w:p>
    <w:p w14:paraId="769FF1F7" w14:textId="4D3CEB1C" w:rsidR="00A87680" w:rsidRPr="008F0387" w:rsidRDefault="0084087E" w:rsidP="008F0387">
      <w:pPr>
        <w:jc w:val="both"/>
        <w:outlineLvl w:val="1"/>
        <w:rPr>
          <w:b/>
          <w:bCs/>
          <w:color w:val="000000"/>
          <w:sz w:val="36"/>
          <w:szCs w:val="36"/>
        </w:rPr>
      </w:pPr>
      <w:r w:rsidRPr="0084087E">
        <w:rPr>
          <w:b/>
          <w:bCs/>
          <w:color w:val="000000"/>
          <w:sz w:val="36"/>
          <w:szCs w:val="36"/>
        </w:rPr>
        <w:t>Sonuç ve Talepler</w:t>
      </w:r>
    </w:p>
    <w:p w14:paraId="308E67AC" w14:textId="77777777" w:rsidR="005C193B" w:rsidRDefault="005C193B" w:rsidP="008F0387">
      <w:pPr>
        <w:jc w:val="both"/>
        <w:outlineLvl w:val="1"/>
        <w:rPr>
          <w:color w:val="000000"/>
        </w:rPr>
      </w:pPr>
    </w:p>
    <w:p w14:paraId="64D82AD6" w14:textId="7E538CAF" w:rsidR="0084087E" w:rsidRPr="001B3B87" w:rsidRDefault="0084087E" w:rsidP="008F0387">
      <w:pPr>
        <w:jc w:val="both"/>
        <w:outlineLvl w:val="1"/>
        <w:rPr>
          <w:b/>
          <w:bCs/>
          <w:color w:val="000000"/>
          <w:sz w:val="36"/>
          <w:szCs w:val="36"/>
        </w:rPr>
      </w:pPr>
      <w:r>
        <w:rPr>
          <w:color w:val="000000"/>
        </w:rPr>
        <w:t>Tüm bu bilgi ve belgeler</w:t>
      </w:r>
      <w:r w:rsidRPr="0084087E">
        <w:rPr>
          <w:color w:val="000000"/>
        </w:rPr>
        <w:t xml:space="preserve">, Türkiye’de mültecilerin maruz bırakıldığı hak ihlallerinin yalnızca rastlantısal </w:t>
      </w:r>
      <w:r w:rsidR="005C193B">
        <w:rPr>
          <w:color w:val="000000"/>
        </w:rPr>
        <w:t>veya</w:t>
      </w:r>
      <w:r w:rsidRPr="0084087E">
        <w:rPr>
          <w:color w:val="000000"/>
        </w:rPr>
        <w:t xml:space="preserve"> münferit uygulamalar değil; yapısal, sistematik ve kurumsallaşmış bir ayrımcılık ve dışlama politikasının sonucu olduğunu ortaya koymaktadır. Başta geri gönderme merkezleri olmak üzere, idari gözetim pratiği; hukuki güvenceden, şeffaflıktan</w:t>
      </w:r>
      <w:r w:rsidR="00AA0E19">
        <w:rPr>
          <w:color w:val="000000"/>
        </w:rPr>
        <w:t xml:space="preserve"> ve</w:t>
      </w:r>
      <w:r w:rsidRPr="0084087E">
        <w:rPr>
          <w:color w:val="000000"/>
        </w:rPr>
        <w:t xml:space="preserve"> insani standartlardan yoksun</w:t>
      </w:r>
      <w:r w:rsidR="00AA0E19">
        <w:rPr>
          <w:color w:val="000000"/>
        </w:rPr>
        <w:t xml:space="preserve"> bir</w:t>
      </w:r>
      <w:r w:rsidRPr="0084087E">
        <w:rPr>
          <w:color w:val="000000"/>
        </w:rPr>
        <w:t xml:space="preserve"> kapatma ve görünmez</w:t>
      </w:r>
      <w:r w:rsidR="00A87680">
        <w:rPr>
          <w:color w:val="000000"/>
        </w:rPr>
        <w:t xml:space="preserve"> kılma</w:t>
      </w:r>
      <w:r w:rsidRPr="0084087E">
        <w:rPr>
          <w:color w:val="000000"/>
        </w:rPr>
        <w:t xml:space="preserve"> mekanizmasına dönüşmüştür. Bu merkezlerde yaşanan </w:t>
      </w:r>
      <w:r w:rsidR="00E06645">
        <w:rPr>
          <w:color w:val="000000"/>
        </w:rPr>
        <w:t>f</w:t>
      </w:r>
      <w:r w:rsidR="00E06645" w:rsidRPr="0084087E">
        <w:rPr>
          <w:color w:val="000000"/>
        </w:rPr>
        <w:t>iziksel şiddet, psikolojik işkence, kötü muamele, sağlık ve hukuki yardıma erişimin engellenmes</w:t>
      </w:r>
      <w:r w:rsidR="00E06645">
        <w:rPr>
          <w:color w:val="000000"/>
        </w:rPr>
        <w:t xml:space="preserve">i gibi </w:t>
      </w:r>
      <w:r w:rsidRPr="0084087E">
        <w:rPr>
          <w:color w:val="000000"/>
        </w:rPr>
        <w:t>hak ihlalleri</w:t>
      </w:r>
      <w:r w:rsidR="005C193B">
        <w:rPr>
          <w:color w:val="000000"/>
        </w:rPr>
        <w:t xml:space="preserve"> </w:t>
      </w:r>
      <w:r w:rsidRPr="0084087E">
        <w:rPr>
          <w:color w:val="000000"/>
        </w:rPr>
        <w:t>sadece ulusal düzeyde değil, uluslararası insan hakları normları açısından da ciddi ihlaller teşkil etmektedir.</w:t>
      </w:r>
    </w:p>
    <w:p w14:paraId="53F04BED" w14:textId="56FB7617" w:rsidR="0084087E" w:rsidRPr="0084087E" w:rsidRDefault="0084087E" w:rsidP="008F0387">
      <w:pPr>
        <w:spacing w:before="100" w:beforeAutospacing="1" w:after="100" w:afterAutospacing="1"/>
        <w:jc w:val="both"/>
        <w:rPr>
          <w:color w:val="000000"/>
        </w:rPr>
      </w:pPr>
      <w:r w:rsidRPr="0084087E">
        <w:rPr>
          <w:color w:val="000000"/>
        </w:rPr>
        <w:t>Mültecilik, yalnızca bir statü değil; temel insan haklarının ve onurun</w:t>
      </w:r>
      <w:r w:rsidR="00CB046F">
        <w:rPr>
          <w:color w:val="000000"/>
        </w:rPr>
        <w:t>un</w:t>
      </w:r>
      <w:r w:rsidRPr="0084087E">
        <w:rPr>
          <w:color w:val="000000"/>
        </w:rPr>
        <w:t xml:space="preserve"> korunması için verilen bir mücadele</w:t>
      </w:r>
      <w:r w:rsidR="00CB046F">
        <w:rPr>
          <w:color w:val="000000"/>
        </w:rPr>
        <w:t xml:space="preserve"> sü</w:t>
      </w:r>
      <w:r w:rsidR="00AA0E19">
        <w:rPr>
          <w:color w:val="000000"/>
        </w:rPr>
        <w:t>r</w:t>
      </w:r>
      <w:r w:rsidR="00CB046F">
        <w:rPr>
          <w:color w:val="000000"/>
        </w:rPr>
        <w:t>eci</w:t>
      </w:r>
      <w:r w:rsidRPr="0084087E">
        <w:rPr>
          <w:color w:val="000000"/>
        </w:rPr>
        <w:t xml:space="preserve">dir. Mülteciler, maruz kaldıkları savaş, işkence ve zulümden kaçarken bir kez daha sınır kapılarında, idari kararlarla ya da geri gönderme merkezlerinde haklarından ve insanlıklarından soyutlanmaktadır. Bu ihlallerin yaşandığı mekânların Avrupa Birliği tarafından </w:t>
      </w:r>
      <w:r w:rsidR="00AA0E19">
        <w:rPr>
          <w:color w:val="000000"/>
        </w:rPr>
        <w:t>finanse edilmesi</w:t>
      </w:r>
      <w:r w:rsidRPr="0084087E">
        <w:rPr>
          <w:color w:val="000000"/>
        </w:rPr>
        <w:t xml:space="preserve"> ve buna rağmen hiçbir etki</w:t>
      </w:r>
      <w:r w:rsidR="00CB046F">
        <w:rPr>
          <w:color w:val="000000"/>
        </w:rPr>
        <w:t>n</w:t>
      </w:r>
      <w:r w:rsidRPr="0084087E">
        <w:rPr>
          <w:color w:val="000000"/>
        </w:rPr>
        <w:t xml:space="preserve"> izleme mekanizmasının devreye sokulmaması, uluslararası sorumluluğun </w:t>
      </w:r>
      <w:r w:rsidR="00CB046F">
        <w:rPr>
          <w:color w:val="000000"/>
        </w:rPr>
        <w:t>ihmalinin de</w:t>
      </w:r>
      <w:r w:rsidRPr="0084087E">
        <w:rPr>
          <w:color w:val="000000"/>
        </w:rPr>
        <w:t xml:space="preserve"> bir o kadar ağır olduğunu göstermektedir.</w:t>
      </w:r>
    </w:p>
    <w:p w14:paraId="449DAA6C" w14:textId="66490058" w:rsidR="0084087E" w:rsidRPr="0084087E" w:rsidRDefault="0084087E" w:rsidP="008F0387">
      <w:pPr>
        <w:spacing w:before="100" w:beforeAutospacing="1" w:after="100" w:afterAutospacing="1"/>
        <w:jc w:val="both"/>
        <w:rPr>
          <w:color w:val="000000"/>
        </w:rPr>
      </w:pPr>
      <w:r w:rsidRPr="0084087E">
        <w:rPr>
          <w:color w:val="000000"/>
        </w:rPr>
        <w:t xml:space="preserve">İşkencenin mutlak olarak yasak olduğu ve insanlık onurunun hiçbir koşulda göz ardı edilemeyeceği gerçeğinden hareketle; biz aşağıdaki çağrıları güçlü biçimde kamuoyuna ve </w:t>
      </w:r>
      <w:r w:rsidR="00E06645">
        <w:rPr>
          <w:color w:val="000000"/>
        </w:rPr>
        <w:t xml:space="preserve">tüm </w:t>
      </w:r>
      <w:r w:rsidRPr="0084087E">
        <w:rPr>
          <w:color w:val="000000"/>
        </w:rPr>
        <w:t>yetkili kurumlara iletiyoruz:</w:t>
      </w:r>
    </w:p>
    <w:p w14:paraId="124EBCE5" w14:textId="77777777" w:rsidR="00AB0B74" w:rsidRDefault="00AB0B74" w:rsidP="008F0387">
      <w:pPr>
        <w:pStyle w:val="NormalWeb"/>
        <w:jc w:val="both"/>
        <w:rPr>
          <w:rStyle w:val="Strong"/>
          <w:rFonts w:eastAsiaTheme="majorEastAsia"/>
          <w:color w:val="000000"/>
        </w:rPr>
      </w:pPr>
    </w:p>
    <w:p w14:paraId="05EAA5EF" w14:textId="77777777" w:rsidR="00AB0B74" w:rsidRDefault="00AB0B74" w:rsidP="008F0387">
      <w:pPr>
        <w:pStyle w:val="NormalWeb"/>
        <w:jc w:val="both"/>
        <w:rPr>
          <w:rStyle w:val="Strong"/>
          <w:rFonts w:eastAsiaTheme="majorEastAsia"/>
          <w:color w:val="000000"/>
        </w:rPr>
      </w:pPr>
    </w:p>
    <w:p w14:paraId="2FB2D1CF" w14:textId="6082685D" w:rsidR="000A53B6" w:rsidRDefault="000A53B6" w:rsidP="008F0387">
      <w:pPr>
        <w:pStyle w:val="NormalWeb"/>
        <w:jc w:val="both"/>
        <w:rPr>
          <w:color w:val="000000"/>
        </w:rPr>
      </w:pPr>
      <w:r>
        <w:rPr>
          <w:rStyle w:val="Strong"/>
          <w:rFonts w:eastAsiaTheme="majorEastAsia"/>
          <w:color w:val="000000"/>
        </w:rPr>
        <w:t>Taleplerimiz:</w:t>
      </w:r>
    </w:p>
    <w:p w14:paraId="7A27BC73" w14:textId="5012CEB5" w:rsidR="000A53B6" w:rsidRDefault="000A53B6" w:rsidP="008F0387">
      <w:pPr>
        <w:pStyle w:val="NormalWeb"/>
        <w:numPr>
          <w:ilvl w:val="0"/>
          <w:numId w:val="12"/>
        </w:numPr>
        <w:jc w:val="both"/>
        <w:rPr>
          <w:color w:val="000000"/>
        </w:rPr>
      </w:pPr>
      <w:r>
        <w:rPr>
          <w:rStyle w:val="Strong"/>
          <w:rFonts w:eastAsiaTheme="majorEastAsia"/>
          <w:color w:val="000000"/>
        </w:rPr>
        <w:t>Tüm Geri Gönderme Merkezleri kapatılmalı, kapatmaya alternatif</w:t>
      </w:r>
      <w:r w:rsidR="00AA0E19">
        <w:rPr>
          <w:rStyle w:val="Strong"/>
          <w:rFonts w:eastAsiaTheme="majorEastAsia"/>
          <w:color w:val="000000"/>
        </w:rPr>
        <w:t xml:space="preserve"> olarak</w:t>
      </w:r>
      <w:r>
        <w:rPr>
          <w:rStyle w:val="Strong"/>
          <w:rFonts w:eastAsiaTheme="majorEastAsia"/>
          <w:color w:val="000000"/>
        </w:rPr>
        <w:t xml:space="preserve"> insan onurunu esas alan koruma temelli mekanizmalar geliştirilmelidir.</w:t>
      </w:r>
      <w:r>
        <w:rPr>
          <w:rStyle w:val="apple-converted-space"/>
          <w:rFonts w:eastAsiaTheme="majorEastAsia"/>
          <w:color w:val="000000"/>
        </w:rPr>
        <w:t> </w:t>
      </w:r>
      <w:r>
        <w:rPr>
          <w:color w:val="000000"/>
        </w:rPr>
        <w:t>İnsanları özgürlüklerinden yoksun bırakan, kötü muameleye açık, denetimsiz ve insan haklarına aykırı bu yapıların varlığı kabul edilemez. Kapatma uygulamasına son verilmeden</w:t>
      </w:r>
      <w:r w:rsidR="008F0387">
        <w:rPr>
          <w:color w:val="000000"/>
        </w:rPr>
        <w:t xml:space="preserve"> </w:t>
      </w:r>
      <w:r>
        <w:rPr>
          <w:color w:val="000000"/>
        </w:rPr>
        <w:t>onarıcı ve hak temelli bir göç politikası inşa edilemez.</w:t>
      </w:r>
    </w:p>
    <w:p w14:paraId="5A1F7BB9" w14:textId="33A75A83" w:rsidR="008F0387" w:rsidRPr="008F0387" w:rsidRDefault="008F0387" w:rsidP="008F0387">
      <w:pPr>
        <w:pStyle w:val="NormalWeb"/>
        <w:numPr>
          <w:ilvl w:val="0"/>
          <w:numId w:val="12"/>
        </w:numPr>
        <w:jc w:val="both"/>
        <w:rPr>
          <w:color w:val="000000"/>
        </w:rPr>
      </w:pPr>
      <w:r>
        <w:rPr>
          <w:color w:val="000000"/>
        </w:rPr>
        <w:t xml:space="preserve">Geri Gönderme Merkezleri kapatılana kadar, mevcut merkezler ilgili uluslararası standartlarla uyumlu olarak </w:t>
      </w:r>
      <w:r w:rsidRPr="008F0387">
        <w:rPr>
          <w:b/>
          <w:bCs/>
          <w:color w:val="000000"/>
        </w:rPr>
        <w:t>bağımsızlığından şüphe duyulmayan</w:t>
      </w:r>
      <w:r>
        <w:rPr>
          <w:color w:val="000000"/>
        </w:rPr>
        <w:t xml:space="preserve"> insan hakları mekanizmaları ile insan hakları örgütleri</w:t>
      </w:r>
      <w:r w:rsidR="00E06645">
        <w:rPr>
          <w:color w:val="000000"/>
        </w:rPr>
        <w:t>nin</w:t>
      </w:r>
      <w:r>
        <w:rPr>
          <w:color w:val="000000"/>
        </w:rPr>
        <w:t xml:space="preserve"> etki</w:t>
      </w:r>
      <w:r w:rsidR="00E06645">
        <w:rPr>
          <w:color w:val="000000"/>
        </w:rPr>
        <w:t>n</w:t>
      </w:r>
      <w:r>
        <w:rPr>
          <w:color w:val="000000"/>
        </w:rPr>
        <w:t xml:space="preserve"> denetim</w:t>
      </w:r>
      <w:r w:rsidR="00E06645">
        <w:rPr>
          <w:color w:val="000000"/>
        </w:rPr>
        <w:t>ine derhal</w:t>
      </w:r>
      <w:r>
        <w:rPr>
          <w:color w:val="000000"/>
        </w:rPr>
        <w:t xml:space="preserve"> açılmalı, sivil toplum kuruluşlarının, insan hakları örgütlerinin, baroların ve uluslararası insan hakları mekanizmalarının bu alanlara düzenli ve engelsiz erişimi sağlanmalıdır.</w:t>
      </w:r>
    </w:p>
    <w:p w14:paraId="74F71977" w14:textId="77777777" w:rsidR="000A53B6" w:rsidRDefault="000A53B6" w:rsidP="008F0387">
      <w:pPr>
        <w:pStyle w:val="NormalWeb"/>
        <w:numPr>
          <w:ilvl w:val="0"/>
          <w:numId w:val="12"/>
        </w:numPr>
        <w:jc w:val="both"/>
        <w:rPr>
          <w:color w:val="000000"/>
        </w:rPr>
      </w:pPr>
      <w:r>
        <w:rPr>
          <w:rStyle w:val="Strong"/>
          <w:rFonts w:eastAsiaTheme="majorEastAsia"/>
          <w:color w:val="000000"/>
        </w:rPr>
        <w:t>İdari gözetim uygulamaları yargı denetimine tabi kılınmalı</w:t>
      </w:r>
      <w:r>
        <w:rPr>
          <w:color w:val="000000"/>
        </w:rPr>
        <w:t>, kişilere gerekçeli bildirim yapılmalı, hukuki yardım, çeviri ve itiraz hakları güvence altına alınmalıdır.</w:t>
      </w:r>
    </w:p>
    <w:p w14:paraId="4698DD9F" w14:textId="77777777" w:rsidR="000A53B6" w:rsidRDefault="000A53B6" w:rsidP="008F0387">
      <w:pPr>
        <w:pStyle w:val="NormalWeb"/>
        <w:numPr>
          <w:ilvl w:val="0"/>
          <w:numId w:val="12"/>
        </w:numPr>
        <w:jc w:val="both"/>
        <w:rPr>
          <w:color w:val="000000"/>
        </w:rPr>
      </w:pPr>
      <w:r>
        <w:rPr>
          <w:rStyle w:val="Strong"/>
          <w:rFonts w:eastAsiaTheme="majorEastAsia"/>
          <w:color w:val="000000"/>
        </w:rPr>
        <w:t>Çocukların, engellilerin, LGBTİ+ bireylerin ve kronik hastaların geri gönderme merkezlerinde tutulmasına son verilmeli</w:t>
      </w:r>
      <w:r>
        <w:rPr>
          <w:color w:val="000000"/>
        </w:rPr>
        <w:t>; bu gruplar için kapatma yerine, koruma temelli ve onarıcı alternatif mekanizmalar hayata geçirilmelidir.</w:t>
      </w:r>
    </w:p>
    <w:p w14:paraId="717AEC1C" w14:textId="77777777" w:rsidR="000A53B6" w:rsidRDefault="000A53B6" w:rsidP="008F0387">
      <w:pPr>
        <w:pStyle w:val="NormalWeb"/>
        <w:numPr>
          <w:ilvl w:val="0"/>
          <w:numId w:val="12"/>
        </w:numPr>
        <w:jc w:val="both"/>
        <w:rPr>
          <w:color w:val="000000"/>
        </w:rPr>
      </w:pPr>
      <w:r>
        <w:rPr>
          <w:color w:val="000000"/>
        </w:rPr>
        <w:t>Zorla imzalatılan</w:t>
      </w:r>
      <w:r>
        <w:rPr>
          <w:rStyle w:val="apple-converted-space"/>
          <w:rFonts w:eastAsiaTheme="majorEastAsia"/>
          <w:color w:val="000000"/>
        </w:rPr>
        <w:t> </w:t>
      </w:r>
      <w:r>
        <w:rPr>
          <w:rStyle w:val="Strong"/>
          <w:rFonts w:eastAsiaTheme="majorEastAsia"/>
          <w:color w:val="000000"/>
        </w:rPr>
        <w:t>“gönüllü geri dönüş” formları uygulamasına derhal son verilmeli</w:t>
      </w:r>
      <w:r>
        <w:rPr>
          <w:color w:val="000000"/>
        </w:rPr>
        <w:t>, geçmişte bu şekilde sınır dışı edilen tüm vakalar bağımsız olarak soruşturulmalı; geri dönüş süreci uluslararası hukuk çerçevesinde yeniden düzenlenmelidir.</w:t>
      </w:r>
    </w:p>
    <w:p w14:paraId="13C0D5BA" w14:textId="36482F27" w:rsidR="000A53B6" w:rsidRDefault="000A53B6" w:rsidP="008F0387">
      <w:pPr>
        <w:pStyle w:val="NormalWeb"/>
        <w:numPr>
          <w:ilvl w:val="0"/>
          <w:numId w:val="12"/>
        </w:numPr>
        <w:jc w:val="both"/>
        <w:rPr>
          <w:color w:val="000000"/>
        </w:rPr>
      </w:pPr>
      <w:r>
        <w:rPr>
          <w:rStyle w:val="Strong"/>
          <w:rFonts w:eastAsiaTheme="majorEastAsia"/>
          <w:color w:val="000000"/>
        </w:rPr>
        <w:t>Geri gönderme merkezlerinin şehir dışı</w:t>
      </w:r>
      <w:r w:rsidR="00E06645">
        <w:rPr>
          <w:rStyle w:val="Strong"/>
          <w:rFonts w:eastAsiaTheme="majorEastAsia"/>
          <w:color w:val="000000"/>
        </w:rPr>
        <w:t>ndaki</w:t>
      </w:r>
      <w:r>
        <w:rPr>
          <w:rStyle w:val="Strong"/>
          <w:rFonts w:eastAsiaTheme="majorEastAsia"/>
          <w:color w:val="000000"/>
        </w:rPr>
        <w:t xml:space="preserve"> izole alanlarda inşa edilmesine son verilmeli</w:t>
      </w:r>
      <w:r>
        <w:rPr>
          <w:color w:val="000000"/>
        </w:rPr>
        <w:t>; mevcut merkezler için ulaşım, iletişim ve erişim koşulları insan hakları standartlarına uygun hale getirilmelidir.</w:t>
      </w:r>
    </w:p>
    <w:p w14:paraId="67D3F518" w14:textId="4D8E229B" w:rsidR="000A53B6" w:rsidRDefault="000A53B6" w:rsidP="008F0387">
      <w:pPr>
        <w:pStyle w:val="NormalWeb"/>
        <w:numPr>
          <w:ilvl w:val="0"/>
          <w:numId w:val="12"/>
        </w:numPr>
        <w:jc w:val="both"/>
        <w:rPr>
          <w:color w:val="000000"/>
        </w:rPr>
      </w:pPr>
      <w:r>
        <w:rPr>
          <w:rStyle w:val="Strong"/>
          <w:rFonts w:eastAsiaTheme="majorEastAsia"/>
          <w:color w:val="000000"/>
        </w:rPr>
        <w:t>Avrupa Birliği ve fon sağlayan diğer uluslararası kuruluşlar</w:t>
      </w:r>
      <w:r>
        <w:rPr>
          <w:color w:val="000000"/>
        </w:rPr>
        <w:t xml:space="preserve">, </w:t>
      </w:r>
      <w:r w:rsidR="00AA0E19">
        <w:rPr>
          <w:color w:val="000000"/>
        </w:rPr>
        <w:t xml:space="preserve">finanse ettikleri </w:t>
      </w:r>
      <w:r>
        <w:rPr>
          <w:color w:val="000000"/>
        </w:rPr>
        <w:t>merkezlerde yaşanan hak ihlallerinden sorumludur. Bu merkezlerin finansmanı, bağımsız ve bağlayıcı bir insan hakları denetimine tabi tutulmalıdır.</w:t>
      </w:r>
    </w:p>
    <w:p w14:paraId="496E8038" w14:textId="5D7C9F12" w:rsidR="000A53B6" w:rsidRDefault="000A53B6" w:rsidP="008F0387">
      <w:pPr>
        <w:pStyle w:val="NormalWeb"/>
        <w:numPr>
          <w:ilvl w:val="0"/>
          <w:numId w:val="12"/>
        </w:numPr>
        <w:jc w:val="both"/>
        <w:rPr>
          <w:color w:val="000000"/>
        </w:rPr>
      </w:pPr>
      <w:r>
        <w:rPr>
          <w:rStyle w:val="Strong"/>
          <w:rFonts w:eastAsiaTheme="majorEastAsia"/>
          <w:color w:val="000000"/>
        </w:rPr>
        <w:t>Türkiye, 1951 Cenevre Sözleşmesi’ne koyduğu coğrafi çekinceyi kaldırmalı</w:t>
      </w:r>
      <w:r>
        <w:rPr>
          <w:color w:val="000000"/>
        </w:rPr>
        <w:t>;</w:t>
      </w:r>
      <w:r w:rsidR="008F0387">
        <w:rPr>
          <w:color w:val="000000"/>
        </w:rPr>
        <w:t xml:space="preserve"> </w:t>
      </w:r>
      <w:r>
        <w:rPr>
          <w:color w:val="000000"/>
        </w:rPr>
        <w:t>sığınma ve mültecilik hakkını evrensel bir hak olarak kabul etmelidir.</w:t>
      </w:r>
    </w:p>
    <w:p w14:paraId="19509FF7" w14:textId="78896511" w:rsidR="008F0387" w:rsidRPr="008F0387" w:rsidRDefault="008F0387" w:rsidP="008F0387">
      <w:pPr>
        <w:pStyle w:val="NormalWeb"/>
        <w:numPr>
          <w:ilvl w:val="0"/>
          <w:numId w:val="12"/>
        </w:numPr>
        <w:jc w:val="both"/>
        <w:rPr>
          <w:color w:val="000000"/>
        </w:rPr>
      </w:pPr>
      <w:r>
        <w:rPr>
          <w:color w:val="000000"/>
        </w:rPr>
        <w:t>İşkence, kötü muamele ve insanlık dışı uygulamalarla ilgili tüm başvurular ilgili uluslararası standartlarla uyumlu olarak bağımsızlığından şüphe duyulmayan insan hakları mekanizmaları ile insan hakları örgütleri tarafından derhal soruşturulmalı; sorumlu kamu görevlileri hakkında etkili ceza ve disiplin süreçleri işletilmelidir. Bu soruşturmalar, BM İşkenceye Karşı Komite’nin 14 Ağustos 2024 tarihli tavsiyelerine uygun olarak, kolluk görevlilerinin aşırı güç kullanımına dair iddiaların hızlı, tarafsız, bağımsız ve etkili şekilde incelenmesini, suçlu bulunanların cezalandırılmasını ve mağdurlara uygun giderim sağlanmasını güvence altına almalıdır.</w:t>
      </w:r>
    </w:p>
    <w:p w14:paraId="580AC2AC" w14:textId="0A45C3A9" w:rsidR="000A53B6" w:rsidRDefault="000A53B6" w:rsidP="008F0387">
      <w:pPr>
        <w:pStyle w:val="NormalWeb"/>
        <w:numPr>
          <w:ilvl w:val="0"/>
          <w:numId w:val="12"/>
        </w:numPr>
        <w:jc w:val="both"/>
        <w:rPr>
          <w:color w:val="000000"/>
        </w:rPr>
      </w:pPr>
      <w:r>
        <w:rPr>
          <w:color w:val="000000"/>
        </w:rPr>
        <w:t>Geri gönderme merkezlerinde tutulan kişilerin</w:t>
      </w:r>
      <w:r>
        <w:rPr>
          <w:rStyle w:val="apple-converted-space"/>
          <w:rFonts w:eastAsiaTheme="majorEastAsia"/>
          <w:color w:val="000000"/>
        </w:rPr>
        <w:t> </w:t>
      </w:r>
      <w:r>
        <w:rPr>
          <w:rStyle w:val="Strong"/>
          <w:rFonts w:eastAsiaTheme="majorEastAsia"/>
          <w:color w:val="000000"/>
        </w:rPr>
        <w:t xml:space="preserve">sağlık, gıda, barınma, hijyen, iletişim ve sosyal destek ihtiyaçları insan onuruna </w:t>
      </w:r>
      <w:r w:rsidR="00E06645">
        <w:rPr>
          <w:rStyle w:val="Strong"/>
          <w:rFonts w:eastAsiaTheme="majorEastAsia"/>
          <w:color w:val="000000"/>
        </w:rPr>
        <w:t>yaraşır</w:t>
      </w:r>
      <w:r>
        <w:rPr>
          <w:rStyle w:val="Strong"/>
          <w:rFonts w:eastAsiaTheme="majorEastAsia"/>
          <w:color w:val="000000"/>
        </w:rPr>
        <w:t xml:space="preserve"> biçimde karşılanmalı</w:t>
      </w:r>
      <w:r>
        <w:rPr>
          <w:color w:val="000000"/>
        </w:rPr>
        <w:t>; özellikle sağlık hizmetlerine erişimi engellenen bireyler için acil müdahale mekanizmaları kurulmalıdır.</w:t>
      </w:r>
    </w:p>
    <w:p w14:paraId="058D5CCF" w14:textId="05115AB6" w:rsidR="000A53B6" w:rsidRPr="000A53B6" w:rsidRDefault="000A53B6" w:rsidP="008F0387">
      <w:pPr>
        <w:pStyle w:val="NormalWeb"/>
        <w:numPr>
          <w:ilvl w:val="0"/>
          <w:numId w:val="12"/>
        </w:numPr>
        <w:jc w:val="both"/>
        <w:rPr>
          <w:color w:val="000000"/>
        </w:rPr>
      </w:pPr>
      <w:r>
        <w:rPr>
          <w:rStyle w:val="Strong"/>
          <w:rFonts w:eastAsiaTheme="majorEastAsia"/>
          <w:color w:val="000000"/>
        </w:rPr>
        <w:t>İşkencesiz, kapatma</w:t>
      </w:r>
      <w:r w:rsidR="00FC7870">
        <w:rPr>
          <w:rStyle w:val="Strong"/>
          <w:rFonts w:eastAsiaTheme="majorEastAsia"/>
          <w:color w:val="000000"/>
        </w:rPr>
        <w:t>ya dayalı olmayan</w:t>
      </w:r>
      <w:r>
        <w:rPr>
          <w:rStyle w:val="Strong"/>
          <w:rFonts w:eastAsiaTheme="majorEastAsia"/>
          <w:color w:val="000000"/>
        </w:rPr>
        <w:t xml:space="preserve"> ve insan onurunu esas alan bir göç rejimi mümkündür.</w:t>
      </w:r>
      <w:r>
        <w:rPr>
          <w:rStyle w:val="apple-converted-space"/>
          <w:rFonts w:eastAsiaTheme="majorEastAsia"/>
          <w:color w:val="000000"/>
        </w:rPr>
        <w:t> </w:t>
      </w:r>
      <w:r>
        <w:rPr>
          <w:color w:val="000000"/>
        </w:rPr>
        <w:t>Bunun için politik irade, insan hakları örgütlerinin etkin katılımı ve uluslararası yükümlülüklere koşulsuz bağlılık esastır.</w:t>
      </w:r>
    </w:p>
    <w:p w14:paraId="1B2E1F95" w14:textId="4DFE055D" w:rsidR="000A53B6" w:rsidRDefault="000A53B6" w:rsidP="008F0387">
      <w:pPr>
        <w:pStyle w:val="NormalWeb"/>
        <w:jc w:val="both"/>
        <w:rPr>
          <w:color w:val="000000"/>
        </w:rPr>
      </w:pPr>
      <w:r>
        <w:rPr>
          <w:color w:val="000000"/>
        </w:rPr>
        <w:lastRenderedPageBreak/>
        <w:t>Bu çağrılar, yalnızca hak ihlallerini belgelemekle yetinmeyen; aynı zamanda başka bir dünyanın, başka bir göç rejiminin mümkün olduğuna ve birlikte yaşayabileceğimize inananlar tarafından dile getirilmektedir. Bizler, işkencesiz bir yaşam hakkının, güvenli sığınmanın ve insan onurunun</w:t>
      </w:r>
      <w:r w:rsidR="00E06645">
        <w:rPr>
          <w:color w:val="000000"/>
        </w:rPr>
        <w:t xml:space="preserve"> ve insan haklarının</w:t>
      </w:r>
      <w:r>
        <w:rPr>
          <w:color w:val="000000"/>
        </w:rPr>
        <w:t xml:space="preserve"> savunulabilir değil,</w:t>
      </w:r>
      <w:r>
        <w:rPr>
          <w:rStyle w:val="apple-converted-space"/>
          <w:rFonts w:eastAsiaTheme="majorEastAsia"/>
          <w:color w:val="000000"/>
        </w:rPr>
        <w:t> </w:t>
      </w:r>
      <w:r>
        <w:rPr>
          <w:rStyle w:val="Strong"/>
          <w:rFonts w:eastAsiaTheme="majorEastAsia"/>
          <w:color w:val="000000"/>
        </w:rPr>
        <w:t xml:space="preserve">savunulması zorunlu </w:t>
      </w:r>
      <w:r w:rsidR="00E06645">
        <w:rPr>
          <w:rStyle w:val="Strong"/>
          <w:rFonts w:eastAsiaTheme="majorEastAsia"/>
          <w:color w:val="000000"/>
        </w:rPr>
        <w:t xml:space="preserve">değerler ve </w:t>
      </w:r>
      <w:r>
        <w:rPr>
          <w:rStyle w:val="Strong"/>
          <w:rFonts w:eastAsiaTheme="majorEastAsia"/>
          <w:color w:val="000000"/>
        </w:rPr>
        <w:t>haklar</w:t>
      </w:r>
      <w:r>
        <w:rPr>
          <w:rStyle w:val="apple-converted-space"/>
          <w:rFonts w:eastAsiaTheme="majorEastAsia"/>
          <w:color w:val="000000"/>
        </w:rPr>
        <w:t> </w:t>
      </w:r>
      <w:r>
        <w:rPr>
          <w:color w:val="000000"/>
        </w:rPr>
        <w:t>olduğuna inanıyoruz. Ve bu inançla, mültecilerin sesinin duyulması, haklarının tanınması ve ihlallerin durdurulması için mücadeleyi sürdüreceğimizi ilan ediyoruz.</w:t>
      </w:r>
    </w:p>
    <w:p w14:paraId="537E5B50" w14:textId="316FF1BA" w:rsidR="000A53B6" w:rsidRDefault="000A53B6" w:rsidP="008F0387">
      <w:pPr>
        <w:pStyle w:val="NormalWeb"/>
        <w:jc w:val="both"/>
        <w:rPr>
          <w:color w:val="000000"/>
        </w:rPr>
      </w:pPr>
      <w:r>
        <w:rPr>
          <w:rStyle w:val="Strong"/>
          <w:rFonts w:eastAsiaTheme="majorEastAsia"/>
          <w:color w:val="000000"/>
        </w:rPr>
        <w:t>26 Haziran İşkenceye Karşı Mücadele ve İşkence Görenlerle Dayanışma Günü’nde</w:t>
      </w:r>
      <w:r>
        <w:rPr>
          <w:color w:val="000000"/>
        </w:rPr>
        <w:t>, mültecilere yönelik işkenceye ve hak ihlallerine karşı sesimizi yükseltiyor, dayanışma çağrı</w:t>
      </w:r>
      <w:r w:rsidR="00E06645">
        <w:rPr>
          <w:color w:val="000000"/>
        </w:rPr>
        <w:t>mızı yineliyoruz:</w:t>
      </w:r>
    </w:p>
    <w:p w14:paraId="3181F124" w14:textId="77777777" w:rsidR="000A53B6" w:rsidRDefault="000A53B6" w:rsidP="008F0387">
      <w:pPr>
        <w:pStyle w:val="NormalWeb"/>
        <w:jc w:val="both"/>
        <w:rPr>
          <w:color w:val="000000"/>
        </w:rPr>
      </w:pPr>
      <w:r>
        <w:rPr>
          <w:rStyle w:val="Strong"/>
          <w:rFonts w:eastAsiaTheme="majorEastAsia"/>
          <w:color w:val="000000"/>
        </w:rPr>
        <w:t>İnsanlık onuru işkenceyi yenecek! İşkencesiz bir dünya mümkün!</w:t>
      </w:r>
    </w:p>
    <w:p w14:paraId="453EE6CF" w14:textId="77777777" w:rsidR="00CD3265" w:rsidRDefault="00CD3265" w:rsidP="008F0387">
      <w:pPr>
        <w:spacing w:before="100" w:beforeAutospacing="1" w:after="100" w:afterAutospacing="1"/>
        <w:jc w:val="both"/>
        <w:rPr>
          <w:color w:val="000000"/>
        </w:rPr>
      </w:pPr>
    </w:p>
    <w:p w14:paraId="6C4521F4" w14:textId="10D13730" w:rsidR="0084087E" w:rsidRPr="00AF61E9" w:rsidRDefault="0084087E" w:rsidP="008F0387">
      <w:pPr>
        <w:spacing w:before="100" w:beforeAutospacing="1" w:after="100" w:afterAutospacing="1"/>
        <w:rPr>
          <w:color w:val="000000"/>
        </w:rPr>
      </w:pPr>
      <w:r w:rsidRPr="00AF61E9">
        <w:rPr>
          <w:color w:val="000000"/>
        </w:rPr>
        <w:br/>
      </w:r>
      <w:r w:rsidRPr="00AF61E9">
        <w:rPr>
          <w:b/>
          <w:bCs/>
          <w:color w:val="000000"/>
        </w:rPr>
        <w:t>Türkiye İnsan Hakları Vakfı (TİHV) İstanbul Temsilciliği</w:t>
      </w:r>
      <w:r w:rsidRPr="00AF61E9">
        <w:rPr>
          <w:color w:val="000000"/>
        </w:rPr>
        <w:br/>
      </w:r>
      <w:r w:rsidRPr="00AF61E9">
        <w:rPr>
          <w:b/>
          <w:bCs/>
          <w:color w:val="000000"/>
        </w:rPr>
        <w:t>İnsan Hakları Derneği (İHD) İstanbul Şubesi</w:t>
      </w:r>
      <w:r w:rsidRPr="00AF61E9">
        <w:rPr>
          <w:color w:val="000000"/>
        </w:rPr>
        <w:br/>
        <w:t>25 Haziran 2025, İstanbul</w:t>
      </w:r>
    </w:p>
    <w:p w14:paraId="33347DD0" w14:textId="77777777" w:rsidR="0084087E" w:rsidRPr="00C84EFC" w:rsidRDefault="0084087E" w:rsidP="008F0387">
      <w:pPr>
        <w:pStyle w:val="NoSpacing"/>
        <w:jc w:val="both"/>
        <w:rPr>
          <w:rFonts w:ascii="Times New Roman" w:hAnsi="Times New Roman" w:cs="Times New Roman"/>
        </w:rPr>
      </w:pPr>
    </w:p>
    <w:p w14:paraId="5C0EE718" w14:textId="77777777" w:rsidR="008021E6" w:rsidRPr="00C84EFC" w:rsidRDefault="008021E6" w:rsidP="008F0387">
      <w:pPr>
        <w:pStyle w:val="NoSpacing"/>
        <w:jc w:val="both"/>
        <w:rPr>
          <w:rFonts w:ascii="Times New Roman" w:hAnsi="Times New Roman" w:cs="Times New Roman"/>
        </w:rPr>
      </w:pPr>
    </w:p>
    <w:sectPr w:rsidR="008021E6" w:rsidRPr="00C84EFC" w:rsidSect="00CD3265">
      <w:headerReference w:type="default" r:id="rId8"/>
      <w:footerReference w:type="even" r:id="rId9"/>
      <w:footerReference w:type="default" r:id="rId10"/>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72D6" w14:textId="77777777" w:rsidR="00AC6276" w:rsidRDefault="00AC6276" w:rsidP="00704A59">
      <w:r>
        <w:separator/>
      </w:r>
    </w:p>
  </w:endnote>
  <w:endnote w:type="continuationSeparator" w:id="0">
    <w:p w14:paraId="385DF94C" w14:textId="77777777" w:rsidR="00AC6276" w:rsidRDefault="00AC6276" w:rsidP="0070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837683"/>
      <w:docPartObj>
        <w:docPartGallery w:val="Page Numbers (Bottom of Page)"/>
        <w:docPartUnique/>
      </w:docPartObj>
    </w:sdtPr>
    <w:sdtContent>
      <w:p w14:paraId="7D3C877E" w14:textId="6F079CDC" w:rsidR="00CD3265" w:rsidRDefault="00CD3265" w:rsidP="00750D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4E8D6" w14:textId="77777777" w:rsidR="00CD3265" w:rsidRDefault="00CD3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7400152"/>
      <w:docPartObj>
        <w:docPartGallery w:val="Page Numbers (Bottom of Page)"/>
        <w:docPartUnique/>
      </w:docPartObj>
    </w:sdtPr>
    <w:sdtContent>
      <w:p w14:paraId="5BD6AFC5" w14:textId="19772343" w:rsidR="00CD3265" w:rsidRDefault="00CD3265" w:rsidP="00750D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7680">
          <w:rPr>
            <w:rStyle w:val="PageNumber"/>
            <w:noProof/>
          </w:rPr>
          <w:t>- 8 -</w:t>
        </w:r>
        <w:r>
          <w:rPr>
            <w:rStyle w:val="PageNumber"/>
          </w:rPr>
          <w:fldChar w:fldCharType="end"/>
        </w:r>
      </w:p>
    </w:sdtContent>
  </w:sdt>
  <w:p w14:paraId="7FA79A48" w14:textId="77777777" w:rsidR="00CD3265" w:rsidRDefault="00CD3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8AD2" w14:textId="77777777" w:rsidR="00AC6276" w:rsidRDefault="00AC6276" w:rsidP="00704A59">
      <w:r>
        <w:separator/>
      </w:r>
    </w:p>
  </w:footnote>
  <w:footnote w:type="continuationSeparator" w:id="0">
    <w:p w14:paraId="07541AD2" w14:textId="77777777" w:rsidR="00AC6276" w:rsidRDefault="00AC6276" w:rsidP="0070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74EA" w14:textId="410324C8" w:rsidR="00704A59" w:rsidRDefault="00AC6276" w:rsidP="00596C24">
    <w:pPr>
      <w:pStyle w:val="Header"/>
      <w:tabs>
        <w:tab w:val="clear" w:pos="4536"/>
        <w:tab w:val="clear" w:pos="9072"/>
        <w:tab w:val="left" w:pos="6530"/>
      </w:tabs>
    </w:pPr>
    <w:r w:rsidRPr="00AC6276">
      <w:rPr>
        <w:rFonts w:cstheme="minorHAnsi"/>
        <w:b/>
        <w:bCs/>
        <w:noProof/>
        <w:sz w:val="22"/>
        <w:szCs w:val="22"/>
        <w14:ligatures w14:val="standardContextual"/>
      </w:rPr>
      <w:object w:dxaOrig="7220" w:dyaOrig="4240" w14:anchorId="117E9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85pt;height:55.9pt;mso-width-percent:0;mso-height-percent:0;mso-width-percent:0;mso-height-percent:0">
          <v:imagedata r:id="rId1" o:title=""/>
        </v:shape>
        <o:OLEObject Type="Embed" ProgID="Acrobat.Document.DC" ShapeID="_x0000_i1025" DrawAspect="Content" ObjectID="_1812289014" r:id="rId2"/>
      </w:object>
    </w:r>
    <w:r w:rsidR="00596C24">
      <w:rPr>
        <w:rFonts w:cstheme="minorHAnsi"/>
        <w:b/>
        <w:bCs/>
        <w:sz w:val="22"/>
        <w:szCs w:val="22"/>
      </w:rPr>
      <w:tab/>
    </w:r>
    <w:r w:rsidR="00596C24">
      <w:rPr>
        <w:rFonts w:cstheme="minorHAnsi"/>
        <w:b/>
        <w:bCs/>
        <w:noProof/>
        <w:sz w:val="22"/>
        <w:szCs w:val="22"/>
      </w:rPr>
      <w:drawing>
        <wp:inline distT="0" distB="0" distL="0" distR="0" wp14:anchorId="1FF9D68D" wp14:editId="5237944F">
          <wp:extent cx="1267969" cy="792480"/>
          <wp:effectExtent l="0" t="0" r="8890" b="7620"/>
          <wp:docPr id="19081732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3132" cy="8019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198"/>
    <w:multiLevelType w:val="multilevel"/>
    <w:tmpl w:val="1A36E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C7FA6"/>
    <w:multiLevelType w:val="multilevel"/>
    <w:tmpl w:val="AB7C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C7888"/>
    <w:multiLevelType w:val="multilevel"/>
    <w:tmpl w:val="965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A5B36"/>
    <w:multiLevelType w:val="multilevel"/>
    <w:tmpl w:val="E246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B2B07"/>
    <w:multiLevelType w:val="multilevel"/>
    <w:tmpl w:val="A7E0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77FAD"/>
    <w:multiLevelType w:val="multilevel"/>
    <w:tmpl w:val="D202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94079"/>
    <w:multiLevelType w:val="multilevel"/>
    <w:tmpl w:val="42F8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B765FD"/>
    <w:multiLevelType w:val="multilevel"/>
    <w:tmpl w:val="B332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C6E4B"/>
    <w:multiLevelType w:val="multilevel"/>
    <w:tmpl w:val="1164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2610CF"/>
    <w:multiLevelType w:val="multilevel"/>
    <w:tmpl w:val="25B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C30D1"/>
    <w:multiLevelType w:val="multilevel"/>
    <w:tmpl w:val="E75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76F39"/>
    <w:multiLevelType w:val="multilevel"/>
    <w:tmpl w:val="4CFE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773916">
    <w:abstractNumId w:val="1"/>
  </w:num>
  <w:num w:numId="2" w16cid:durableId="254824174">
    <w:abstractNumId w:val="3"/>
  </w:num>
  <w:num w:numId="3" w16cid:durableId="73094791">
    <w:abstractNumId w:val="10"/>
  </w:num>
  <w:num w:numId="4" w16cid:durableId="859852629">
    <w:abstractNumId w:val="5"/>
  </w:num>
  <w:num w:numId="5" w16cid:durableId="41754195">
    <w:abstractNumId w:val="9"/>
  </w:num>
  <w:num w:numId="6" w16cid:durableId="681249657">
    <w:abstractNumId w:val="2"/>
  </w:num>
  <w:num w:numId="7" w16cid:durableId="642078901">
    <w:abstractNumId w:val="0"/>
  </w:num>
  <w:num w:numId="8" w16cid:durableId="965550124">
    <w:abstractNumId w:val="7"/>
  </w:num>
  <w:num w:numId="9" w16cid:durableId="524758541">
    <w:abstractNumId w:val="6"/>
  </w:num>
  <w:num w:numId="10" w16cid:durableId="1685202360">
    <w:abstractNumId w:val="8"/>
  </w:num>
  <w:num w:numId="11" w16cid:durableId="1791509164">
    <w:abstractNumId w:val="4"/>
  </w:num>
  <w:num w:numId="12" w16cid:durableId="911621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18"/>
    <w:rsid w:val="00015D08"/>
    <w:rsid w:val="00063B93"/>
    <w:rsid w:val="0006645D"/>
    <w:rsid w:val="000763C5"/>
    <w:rsid w:val="00097A17"/>
    <w:rsid w:val="000A53B6"/>
    <w:rsid w:val="000B5B79"/>
    <w:rsid w:val="000D3442"/>
    <w:rsid w:val="000F62FF"/>
    <w:rsid w:val="000F6B62"/>
    <w:rsid w:val="001231CF"/>
    <w:rsid w:val="00126FAC"/>
    <w:rsid w:val="001372AC"/>
    <w:rsid w:val="00160641"/>
    <w:rsid w:val="0016394B"/>
    <w:rsid w:val="00192BD1"/>
    <w:rsid w:val="001B3B87"/>
    <w:rsid w:val="001B4E65"/>
    <w:rsid w:val="001C0837"/>
    <w:rsid w:val="001E4647"/>
    <w:rsid w:val="001E4780"/>
    <w:rsid w:val="001F53E2"/>
    <w:rsid w:val="00206C45"/>
    <w:rsid w:val="00226FD3"/>
    <w:rsid w:val="0023701D"/>
    <w:rsid w:val="002402FE"/>
    <w:rsid w:val="00243C22"/>
    <w:rsid w:val="0026140E"/>
    <w:rsid w:val="00276DC4"/>
    <w:rsid w:val="00292B4B"/>
    <w:rsid w:val="002A6DDF"/>
    <w:rsid w:val="002B080F"/>
    <w:rsid w:val="002C7309"/>
    <w:rsid w:val="002E4B82"/>
    <w:rsid w:val="002F33B6"/>
    <w:rsid w:val="003009EF"/>
    <w:rsid w:val="003013EB"/>
    <w:rsid w:val="003076F3"/>
    <w:rsid w:val="0031475C"/>
    <w:rsid w:val="00315492"/>
    <w:rsid w:val="00324B02"/>
    <w:rsid w:val="0034290C"/>
    <w:rsid w:val="00357691"/>
    <w:rsid w:val="003824F5"/>
    <w:rsid w:val="0039697D"/>
    <w:rsid w:val="003A15E3"/>
    <w:rsid w:val="003B507F"/>
    <w:rsid w:val="003D7EC3"/>
    <w:rsid w:val="003E1041"/>
    <w:rsid w:val="003E5E70"/>
    <w:rsid w:val="003F12CC"/>
    <w:rsid w:val="00414806"/>
    <w:rsid w:val="00442F23"/>
    <w:rsid w:val="0045136D"/>
    <w:rsid w:val="00451EDB"/>
    <w:rsid w:val="00452BA5"/>
    <w:rsid w:val="004909C2"/>
    <w:rsid w:val="004A2718"/>
    <w:rsid w:val="004B4824"/>
    <w:rsid w:val="004B4A5D"/>
    <w:rsid w:val="004C04EC"/>
    <w:rsid w:val="004C33ED"/>
    <w:rsid w:val="00510AFD"/>
    <w:rsid w:val="00531255"/>
    <w:rsid w:val="00532A38"/>
    <w:rsid w:val="0054289A"/>
    <w:rsid w:val="0055598D"/>
    <w:rsid w:val="00557E23"/>
    <w:rsid w:val="00566825"/>
    <w:rsid w:val="0056733B"/>
    <w:rsid w:val="00573B4D"/>
    <w:rsid w:val="005942BD"/>
    <w:rsid w:val="00596C24"/>
    <w:rsid w:val="005A48B8"/>
    <w:rsid w:val="005B5AC6"/>
    <w:rsid w:val="005C0E46"/>
    <w:rsid w:val="005C193B"/>
    <w:rsid w:val="005C6D25"/>
    <w:rsid w:val="005D6832"/>
    <w:rsid w:val="005E5F7B"/>
    <w:rsid w:val="0061479F"/>
    <w:rsid w:val="0064068A"/>
    <w:rsid w:val="00640A27"/>
    <w:rsid w:val="00644F6D"/>
    <w:rsid w:val="00647737"/>
    <w:rsid w:val="0065149A"/>
    <w:rsid w:val="00691B70"/>
    <w:rsid w:val="006A20BA"/>
    <w:rsid w:val="006A513A"/>
    <w:rsid w:val="006D6CC4"/>
    <w:rsid w:val="006D7FF5"/>
    <w:rsid w:val="006E0238"/>
    <w:rsid w:val="006E3CC5"/>
    <w:rsid w:val="006F370E"/>
    <w:rsid w:val="006F7439"/>
    <w:rsid w:val="007049B4"/>
    <w:rsid w:val="00704A59"/>
    <w:rsid w:val="007124AB"/>
    <w:rsid w:val="007300B5"/>
    <w:rsid w:val="007859BC"/>
    <w:rsid w:val="007D0F8A"/>
    <w:rsid w:val="007D4E5E"/>
    <w:rsid w:val="008021E6"/>
    <w:rsid w:val="0084087E"/>
    <w:rsid w:val="00847C16"/>
    <w:rsid w:val="008806FA"/>
    <w:rsid w:val="00890F61"/>
    <w:rsid w:val="00893099"/>
    <w:rsid w:val="008A605E"/>
    <w:rsid w:val="008A6B97"/>
    <w:rsid w:val="008B280B"/>
    <w:rsid w:val="008B7B0C"/>
    <w:rsid w:val="008D062F"/>
    <w:rsid w:val="008D0A6C"/>
    <w:rsid w:val="008E1CDE"/>
    <w:rsid w:val="008E1DCD"/>
    <w:rsid w:val="008F0387"/>
    <w:rsid w:val="00906C2D"/>
    <w:rsid w:val="00911C76"/>
    <w:rsid w:val="009338B0"/>
    <w:rsid w:val="00937683"/>
    <w:rsid w:val="00944286"/>
    <w:rsid w:val="009605E3"/>
    <w:rsid w:val="00960F94"/>
    <w:rsid w:val="00961406"/>
    <w:rsid w:val="00963200"/>
    <w:rsid w:val="00983535"/>
    <w:rsid w:val="00997B81"/>
    <w:rsid w:val="009A27AD"/>
    <w:rsid w:val="00A01FD5"/>
    <w:rsid w:val="00A20E55"/>
    <w:rsid w:val="00A25E32"/>
    <w:rsid w:val="00A26F33"/>
    <w:rsid w:val="00A304F2"/>
    <w:rsid w:val="00A57E4E"/>
    <w:rsid w:val="00A87680"/>
    <w:rsid w:val="00A908C8"/>
    <w:rsid w:val="00A95E02"/>
    <w:rsid w:val="00AA0E19"/>
    <w:rsid w:val="00AB0B74"/>
    <w:rsid w:val="00AB4765"/>
    <w:rsid w:val="00AC6276"/>
    <w:rsid w:val="00AD2E27"/>
    <w:rsid w:val="00AD5C21"/>
    <w:rsid w:val="00AE0C6E"/>
    <w:rsid w:val="00AE1D55"/>
    <w:rsid w:val="00AE5C44"/>
    <w:rsid w:val="00AF4D20"/>
    <w:rsid w:val="00AF61E9"/>
    <w:rsid w:val="00B00035"/>
    <w:rsid w:val="00B144A1"/>
    <w:rsid w:val="00B15B61"/>
    <w:rsid w:val="00B44AAB"/>
    <w:rsid w:val="00B45D6A"/>
    <w:rsid w:val="00B46F08"/>
    <w:rsid w:val="00B51EF3"/>
    <w:rsid w:val="00B61DA8"/>
    <w:rsid w:val="00B6619D"/>
    <w:rsid w:val="00B859CC"/>
    <w:rsid w:val="00B91EEA"/>
    <w:rsid w:val="00BA4CBE"/>
    <w:rsid w:val="00BC3F47"/>
    <w:rsid w:val="00BE0DC9"/>
    <w:rsid w:val="00BF0BF9"/>
    <w:rsid w:val="00BF1E9A"/>
    <w:rsid w:val="00C06734"/>
    <w:rsid w:val="00C13496"/>
    <w:rsid w:val="00C17E28"/>
    <w:rsid w:val="00C30036"/>
    <w:rsid w:val="00C40B12"/>
    <w:rsid w:val="00C824C1"/>
    <w:rsid w:val="00C84EFC"/>
    <w:rsid w:val="00C87849"/>
    <w:rsid w:val="00C9444A"/>
    <w:rsid w:val="00CA5CDE"/>
    <w:rsid w:val="00CB046F"/>
    <w:rsid w:val="00CB1B52"/>
    <w:rsid w:val="00CD0722"/>
    <w:rsid w:val="00CD3265"/>
    <w:rsid w:val="00CE6AAA"/>
    <w:rsid w:val="00D03A40"/>
    <w:rsid w:val="00D23A81"/>
    <w:rsid w:val="00D33B6D"/>
    <w:rsid w:val="00D4550D"/>
    <w:rsid w:val="00D6074E"/>
    <w:rsid w:val="00D91086"/>
    <w:rsid w:val="00D9260E"/>
    <w:rsid w:val="00D97591"/>
    <w:rsid w:val="00DB5727"/>
    <w:rsid w:val="00DD054E"/>
    <w:rsid w:val="00DD080C"/>
    <w:rsid w:val="00DD2F4A"/>
    <w:rsid w:val="00DE2B00"/>
    <w:rsid w:val="00E05113"/>
    <w:rsid w:val="00E06645"/>
    <w:rsid w:val="00E24AF9"/>
    <w:rsid w:val="00E25312"/>
    <w:rsid w:val="00E30261"/>
    <w:rsid w:val="00E31AF3"/>
    <w:rsid w:val="00E31E91"/>
    <w:rsid w:val="00E377D3"/>
    <w:rsid w:val="00E44F17"/>
    <w:rsid w:val="00E5457C"/>
    <w:rsid w:val="00E61F7A"/>
    <w:rsid w:val="00E66617"/>
    <w:rsid w:val="00E94916"/>
    <w:rsid w:val="00E95DCA"/>
    <w:rsid w:val="00EA6216"/>
    <w:rsid w:val="00EB5139"/>
    <w:rsid w:val="00EB5683"/>
    <w:rsid w:val="00EC6A15"/>
    <w:rsid w:val="00ED3A1C"/>
    <w:rsid w:val="00ED775E"/>
    <w:rsid w:val="00EE501C"/>
    <w:rsid w:val="00F028F6"/>
    <w:rsid w:val="00F07808"/>
    <w:rsid w:val="00F15BEF"/>
    <w:rsid w:val="00F16EB5"/>
    <w:rsid w:val="00F251EC"/>
    <w:rsid w:val="00F47810"/>
    <w:rsid w:val="00F51172"/>
    <w:rsid w:val="00F52753"/>
    <w:rsid w:val="00F56827"/>
    <w:rsid w:val="00F65403"/>
    <w:rsid w:val="00F843D3"/>
    <w:rsid w:val="00F87781"/>
    <w:rsid w:val="00F90CA9"/>
    <w:rsid w:val="00FB1FD9"/>
    <w:rsid w:val="00FB5068"/>
    <w:rsid w:val="00FB7AF2"/>
    <w:rsid w:val="00FC2707"/>
    <w:rsid w:val="00FC7870"/>
    <w:rsid w:val="00FC7F71"/>
    <w:rsid w:val="00FD22DA"/>
    <w:rsid w:val="00FD40C9"/>
    <w:rsid w:val="00FE17D7"/>
    <w:rsid w:val="00FF2BE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7BFA7"/>
  <w15:chartTrackingRefBased/>
  <w15:docId w15:val="{D86F4D3F-8CDC-4B5D-9B3C-41A39962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3"/>
    <w:pPr>
      <w:spacing w:after="0" w:line="240" w:lineRule="auto"/>
    </w:pPr>
    <w:rPr>
      <w:rFonts w:ascii="Times New Roman" w:eastAsia="Times New Roman" w:hAnsi="Times New Roman" w:cs="Times New Roman"/>
      <w:kern w:val="0"/>
      <w:lang w:eastAsia="tr-TR"/>
      <w14:ligatures w14:val="none"/>
    </w:rPr>
  </w:style>
  <w:style w:type="paragraph" w:styleId="Heading1">
    <w:name w:val="heading 1"/>
    <w:basedOn w:val="Normal"/>
    <w:next w:val="Normal"/>
    <w:link w:val="Heading1Char"/>
    <w:uiPriority w:val="9"/>
    <w:qFormat/>
    <w:rsid w:val="004A27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A27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27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A27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27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27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7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7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7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7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A27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A27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A27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27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2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718"/>
    <w:rPr>
      <w:rFonts w:eastAsiaTheme="majorEastAsia" w:cstheme="majorBidi"/>
      <w:color w:val="272727" w:themeColor="text1" w:themeTint="D8"/>
    </w:rPr>
  </w:style>
  <w:style w:type="paragraph" w:styleId="Title">
    <w:name w:val="Title"/>
    <w:basedOn w:val="Normal"/>
    <w:next w:val="Normal"/>
    <w:link w:val="TitleChar"/>
    <w:uiPriority w:val="10"/>
    <w:qFormat/>
    <w:rsid w:val="004A27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718"/>
    <w:pPr>
      <w:spacing w:before="160"/>
      <w:jc w:val="center"/>
    </w:pPr>
    <w:rPr>
      <w:i/>
      <w:iCs/>
      <w:color w:val="404040" w:themeColor="text1" w:themeTint="BF"/>
    </w:rPr>
  </w:style>
  <w:style w:type="character" w:customStyle="1" w:styleId="QuoteChar">
    <w:name w:val="Quote Char"/>
    <w:basedOn w:val="DefaultParagraphFont"/>
    <w:link w:val="Quote"/>
    <w:uiPriority w:val="29"/>
    <w:rsid w:val="004A2718"/>
    <w:rPr>
      <w:i/>
      <w:iCs/>
      <w:color w:val="404040" w:themeColor="text1" w:themeTint="BF"/>
    </w:rPr>
  </w:style>
  <w:style w:type="paragraph" w:styleId="ListParagraph">
    <w:name w:val="List Paragraph"/>
    <w:basedOn w:val="Normal"/>
    <w:uiPriority w:val="34"/>
    <w:qFormat/>
    <w:rsid w:val="004A2718"/>
    <w:pPr>
      <w:ind w:left="720"/>
      <w:contextualSpacing/>
    </w:pPr>
  </w:style>
  <w:style w:type="character" w:styleId="IntenseEmphasis">
    <w:name w:val="Intense Emphasis"/>
    <w:basedOn w:val="DefaultParagraphFont"/>
    <w:uiPriority w:val="21"/>
    <w:qFormat/>
    <w:rsid w:val="004A2718"/>
    <w:rPr>
      <w:i/>
      <w:iCs/>
      <w:color w:val="2F5496" w:themeColor="accent1" w:themeShade="BF"/>
    </w:rPr>
  </w:style>
  <w:style w:type="paragraph" w:styleId="IntenseQuote">
    <w:name w:val="Intense Quote"/>
    <w:basedOn w:val="Normal"/>
    <w:next w:val="Normal"/>
    <w:link w:val="IntenseQuoteChar"/>
    <w:uiPriority w:val="30"/>
    <w:qFormat/>
    <w:rsid w:val="004A2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2718"/>
    <w:rPr>
      <w:i/>
      <w:iCs/>
      <w:color w:val="2F5496" w:themeColor="accent1" w:themeShade="BF"/>
    </w:rPr>
  </w:style>
  <w:style w:type="character" w:styleId="IntenseReference">
    <w:name w:val="Intense Reference"/>
    <w:basedOn w:val="DefaultParagraphFont"/>
    <w:uiPriority w:val="32"/>
    <w:qFormat/>
    <w:rsid w:val="004A2718"/>
    <w:rPr>
      <w:b/>
      <w:bCs/>
      <w:smallCaps/>
      <w:color w:val="2F5496" w:themeColor="accent1" w:themeShade="BF"/>
      <w:spacing w:val="5"/>
    </w:rPr>
  </w:style>
  <w:style w:type="paragraph" w:styleId="Revision">
    <w:name w:val="Revision"/>
    <w:hidden/>
    <w:uiPriority w:val="99"/>
    <w:semiHidden/>
    <w:rsid w:val="0055598D"/>
    <w:pPr>
      <w:spacing w:after="0" w:line="240" w:lineRule="auto"/>
    </w:pPr>
  </w:style>
  <w:style w:type="character" w:styleId="CommentReference">
    <w:name w:val="annotation reference"/>
    <w:basedOn w:val="DefaultParagraphFont"/>
    <w:uiPriority w:val="99"/>
    <w:semiHidden/>
    <w:unhideWhenUsed/>
    <w:rsid w:val="008B7B0C"/>
    <w:rPr>
      <w:sz w:val="16"/>
      <w:szCs w:val="16"/>
    </w:rPr>
  </w:style>
  <w:style w:type="paragraph" w:styleId="CommentText">
    <w:name w:val="annotation text"/>
    <w:basedOn w:val="Normal"/>
    <w:link w:val="CommentTextChar"/>
    <w:uiPriority w:val="99"/>
    <w:unhideWhenUsed/>
    <w:rsid w:val="008B7B0C"/>
    <w:rPr>
      <w:sz w:val="20"/>
      <w:szCs w:val="20"/>
    </w:rPr>
  </w:style>
  <w:style w:type="character" w:customStyle="1" w:styleId="CommentTextChar">
    <w:name w:val="Comment Text Char"/>
    <w:basedOn w:val="DefaultParagraphFont"/>
    <w:link w:val="CommentText"/>
    <w:uiPriority w:val="99"/>
    <w:rsid w:val="008B7B0C"/>
    <w:rPr>
      <w:sz w:val="20"/>
      <w:szCs w:val="20"/>
    </w:rPr>
  </w:style>
  <w:style w:type="paragraph" w:styleId="CommentSubject">
    <w:name w:val="annotation subject"/>
    <w:basedOn w:val="CommentText"/>
    <w:next w:val="CommentText"/>
    <w:link w:val="CommentSubjectChar"/>
    <w:uiPriority w:val="99"/>
    <w:semiHidden/>
    <w:unhideWhenUsed/>
    <w:rsid w:val="008B7B0C"/>
    <w:rPr>
      <w:b/>
      <w:bCs/>
    </w:rPr>
  </w:style>
  <w:style w:type="character" w:customStyle="1" w:styleId="CommentSubjectChar">
    <w:name w:val="Comment Subject Char"/>
    <w:basedOn w:val="CommentTextChar"/>
    <w:link w:val="CommentSubject"/>
    <w:uiPriority w:val="99"/>
    <w:semiHidden/>
    <w:rsid w:val="008B7B0C"/>
    <w:rPr>
      <w:b/>
      <w:bCs/>
      <w:sz w:val="20"/>
      <w:szCs w:val="20"/>
    </w:rPr>
  </w:style>
  <w:style w:type="paragraph" w:styleId="BalloonText">
    <w:name w:val="Balloon Text"/>
    <w:basedOn w:val="Normal"/>
    <w:link w:val="BalloonTextChar"/>
    <w:uiPriority w:val="99"/>
    <w:semiHidden/>
    <w:unhideWhenUsed/>
    <w:rsid w:val="008B7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B0C"/>
    <w:rPr>
      <w:rFonts w:ascii="Segoe UI" w:hAnsi="Segoe UI" w:cs="Segoe UI"/>
      <w:sz w:val="18"/>
      <w:szCs w:val="18"/>
    </w:rPr>
  </w:style>
  <w:style w:type="paragraph" w:styleId="Header">
    <w:name w:val="header"/>
    <w:basedOn w:val="Normal"/>
    <w:link w:val="HeaderChar"/>
    <w:uiPriority w:val="99"/>
    <w:unhideWhenUsed/>
    <w:rsid w:val="00704A59"/>
    <w:pPr>
      <w:tabs>
        <w:tab w:val="center" w:pos="4536"/>
        <w:tab w:val="right" w:pos="9072"/>
      </w:tabs>
    </w:pPr>
  </w:style>
  <w:style w:type="character" w:customStyle="1" w:styleId="HeaderChar">
    <w:name w:val="Header Char"/>
    <w:basedOn w:val="DefaultParagraphFont"/>
    <w:link w:val="Header"/>
    <w:uiPriority w:val="99"/>
    <w:rsid w:val="00704A59"/>
  </w:style>
  <w:style w:type="paragraph" w:styleId="Footer">
    <w:name w:val="footer"/>
    <w:basedOn w:val="Normal"/>
    <w:link w:val="FooterChar"/>
    <w:uiPriority w:val="99"/>
    <w:unhideWhenUsed/>
    <w:rsid w:val="00704A59"/>
    <w:pPr>
      <w:tabs>
        <w:tab w:val="center" w:pos="4536"/>
        <w:tab w:val="right" w:pos="9072"/>
      </w:tabs>
    </w:pPr>
  </w:style>
  <w:style w:type="character" w:customStyle="1" w:styleId="FooterChar">
    <w:name w:val="Footer Char"/>
    <w:basedOn w:val="DefaultParagraphFont"/>
    <w:link w:val="Footer"/>
    <w:uiPriority w:val="99"/>
    <w:rsid w:val="00704A59"/>
  </w:style>
  <w:style w:type="paragraph" w:styleId="NoSpacing">
    <w:name w:val="No Spacing"/>
    <w:uiPriority w:val="1"/>
    <w:qFormat/>
    <w:rsid w:val="003E5E70"/>
    <w:pPr>
      <w:spacing w:after="0" w:line="240" w:lineRule="auto"/>
    </w:pPr>
  </w:style>
  <w:style w:type="paragraph" w:styleId="NormalWeb">
    <w:name w:val="Normal (Web)"/>
    <w:basedOn w:val="Normal"/>
    <w:uiPriority w:val="99"/>
    <w:unhideWhenUsed/>
    <w:rsid w:val="004C33ED"/>
    <w:pPr>
      <w:spacing w:before="100" w:beforeAutospacing="1" w:after="100" w:afterAutospacing="1"/>
    </w:pPr>
  </w:style>
  <w:style w:type="character" w:styleId="Strong">
    <w:name w:val="Strong"/>
    <w:basedOn w:val="DefaultParagraphFont"/>
    <w:uiPriority w:val="22"/>
    <w:qFormat/>
    <w:rsid w:val="004C33ED"/>
    <w:rPr>
      <w:b/>
      <w:bCs/>
    </w:rPr>
  </w:style>
  <w:style w:type="character" w:customStyle="1" w:styleId="apple-converted-space">
    <w:name w:val="apple-converted-space"/>
    <w:basedOn w:val="DefaultParagraphFont"/>
    <w:rsid w:val="004C33ED"/>
  </w:style>
  <w:style w:type="character" w:styleId="PageNumber">
    <w:name w:val="page number"/>
    <w:basedOn w:val="DefaultParagraphFont"/>
    <w:uiPriority w:val="99"/>
    <w:semiHidden/>
    <w:unhideWhenUsed/>
    <w:rsid w:val="00CD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0167">
      <w:bodyDiv w:val="1"/>
      <w:marLeft w:val="0"/>
      <w:marRight w:val="0"/>
      <w:marTop w:val="0"/>
      <w:marBottom w:val="0"/>
      <w:divBdr>
        <w:top w:val="none" w:sz="0" w:space="0" w:color="auto"/>
        <w:left w:val="none" w:sz="0" w:space="0" w:color="auto"/>
        <w:bottom w:val="none" w:sz="0" w:space="0" w:color="auto"/>
        <w:right w:val="none" w:sz="0" w:space="0" w:color="auto"/>
      </w:divBdr>
    </w:div>
    <w:div w:id="129859143">
      <w:bodyDiv w:val="1"/>
      <w:marLeft w:val="0"/>
      <w:marRight w:val="0"/>
      <w:marTop w:val="0"/>
      <w:marBottom w:val="0"/>
      <w:divBdr>
        <w:top w:val="none" w:sz="0" w:space="0" w:color="auto"/>
        <w:left w:val="none" w:sz="0" w:space="0" w:color="auto"/>
        <w:bottom w:val="none" w:sz="0" w:space="0" w:color="auto"/>
        <w:right w:val="none" w:sz="0" w:space="0" w:color="auto"/>
      </w:divBdr>
    </w:div>
    <w:div w:id="165944727">
      <w:bodyDiv w:val="1"/>
      <w:marLeft w:val="0"/>
      <w:marRight w:val="0"/>
      <w:marTop w:val="0"/>
      <w:marBottom w:val="0"/>
      <w:divBdr>
        <w:top w:val="none" w:sz="0" w:space="0" w:color="auto"/>
        <w:left w:val="none" w:sz="0" w:space="0" w:color="auto"/>
        <w:bottom w:val="none" w:sz="0" w:space="0" w:color="auto"/>
        <w:right w:val="none" w:sz="0" w:space="0" w:color="auto"/>
      </w:divBdr>
    </w:div>
    <w:div w:id="252007366">
      <w:bodyDiv w:val="1"/>
      <w:marLeft w:val="0"/>
      <w:marRight w:val="0"/>
      <w:marTop w:val="0"/>
      <w:marBottom w:val="0"/>
      <w:divBdr>
        <w:top w:val="none" w:sz="0" w:space="0" w:color="auto"/>
        <w:left w:val="none" w:sz="0" w:space="0" w:color="auto"/>
        <w:bottom w:val="none" w:sz="0" w:space="0" w:color="auto"/>
        <w:right w:val="none" w:sz="0" w:space="0" w:color="auto"/>
      </w:divBdr>
    </w:div>
    <w:div w:id="415133550">
      <w:bodyDiv w:val="1"/>
      <w:marLeft w:val="0"/>
      <w:marRight w:val="0"/>
      <w:marTop w:val="0"/>
      <w:marBottom w:val="0"/>
      <w:divBdr>
        <w:top w:val="none" w:sz="0" w:space="0" w:color="auto"/>
        <w:left w:val="none" w:sz="0" w:space="0" w:color="auto"/>
        <w:bottom w:val="none" w:sz="0" w:space="0" w:color="auto"/>
        <w:right w:val="none" w:sz="0" w:space="0" w:color="auto"/>
      </w:divBdr>
    </w:div>
    <w:div w:id="460465325">
      <w:bodyDiv w:val="1"/>
      <w:marLeft w:val="0"/>
      <w:marRight w:val="0"/>
      <w:marTop w:val="0"/>
      <w:marBottom w:val="0"/>
      <w:divBdr>
        <w:top w:val="none" w:sz="0" w:space="0" w:color="auto"/>
        <w:left w:val="none" w:sz="0" w:space="0" w:color="auto"/>
        <w:bottom w:val="none" w:sz="0" w:space="0" w:color="auto"/>
        <w:right w:val="none" w:sz="0" w:space="0" w:color="auto"/>
      </w:divBdr>
    </w:div>
    <w:div w:id="499200012">
      <w:bodyDiv w:val="1"/>
      <w:marLeft w:val="0"/>
      <w:marRight w:val="0"/>
      <w:marTop w:val="0"/>
      <w:marBottom w:val="0"/>
      <w:divBdr>
        <w:top w:val="none" w:sz="0" w:space="0" w:color="auto"/>
        <w:left w:val="none" w:sz="0" w:space="0" w:color="auto"/>
        <w:bottom w:val="none" w:sz="0" w:space="0" w:color="auto"/>
        <w:right w:val="none" w:sz="0" w:space="0" w:color="auto"/>
      </w:divBdr>
    </w:div>
    <w:div w:id="515463379">
      <w:bodyDiv w:val="1"/>
      <w:marLeft w:val="0"/>
      <w:marRight w:val="0"/>
      <w:marTop w:val="0"/>
      <w:marBottom w:val="0"/>
      <w:divBdr>
        <w:top w:val="none" w:sz="0" w:space="0" w:color="auto"/>
        <w:left w:val="none" w:sz="0" w:space="0" w:color="auto"/>
        <w:bottom w:val="none" w:sz="0" w:space="0" w:color="auto"/>
        <w:right w:val="none" w:sz="0" w:space="0" w:color="auto"/>
      </w:divBdr>
    </w:div>
    <w:div w:id="517081405">
      <w:bodyDiv w:val="1"/>
      <w:marLeft w:val="0"/>
      <w:marRight w:val="0"/>
      <w:marTop w:val="0"/>
      <w:marBottom w:val="0"/>
      <w:divBdr>
        <w:top w:val="none" w:sz="0" w:space="0" w:color="auto"/>
        <w:left w:val="none" w:sz="0" w:space="0" w:color="auto"/>
        <w:bottom w:val="none" w:sz="0" w:space="0" w:color="auto"/>
        <w:right w:val="none" w:sz="0" w:space="0" w:color="auto"/>
      </w:divBdr>
    </w:div>
    <w:div w:id="534469968">
      <w:bodyDiv w:val="1"/>
      <w:marLeft w:val="0"/>
      <w:marRight w:val="0"/>
      <w:marTop w:val="0"/>
      <w:marBottom w:val="0"/>
      <w:divBdr>
        <w:top w:val="none" w:sz="0" w:space="0" w:color="auto"/>
        <w:left w:val="none" w:sz="0" w:space="0" w:color="auto"/>
        <w:bottom w:val="none" w:sz="0" w:space="0" w:color="auto"/>
        <w:right w:val="none" w:sz="0" w:space="0" w:color="auto"/>
      </w:divBdr>
    </w:div>
    <w:div w:id="592590606">
      <w:bodyDiv w:val="1"/>
      <w:marLeft w:val="0"/>
      <w:marRight w:val="0"/>
      <w:marTop w:val="0"/>
      <w:marBottom w:val="0"/>
      <w:divBdr>
        <w:top w:val="none" w:sz="0" w:space="0" w:color="auto"/>
        <w:left w:val="none" w:sz="0" w:space="0" w:color="auto"/>
        <w:bottom w:val="none" w:sz="0" w:space="0" w:color="auto"/>
        <w:right w:val="none" w:sz="0" w:space="0" w:color="auto"/>
      </w:divBdr>
    </w:div>
    <w:div w:id="653875878">
      <w:bodyDiv w:val="1"/>
      <w:marLeft w:val="0"/>
      <w:marRight w:val="0"/>
      <w:marTop w:val="0"/>
      <w:marBottom w:val="0"/>
      <w:divBdr>
        <w:top w:val="none" w:sz="0" w:space="0" w:color="auto"/>
        <w:left w:val="none" w:sz="0" w:space="0" w:color="auto"/>
        <w:bottom w:val="none" w:sz="0" w:space="0" w:color="auto"/>
        <w:right w:val="none" w:sz="0" w:space="0" w:color="auto"/>
      </w:divBdr>
    </w:div>
    <w:div w:id="726760958">
      <w:bodyDiv w:val="1"/>
      <w:marLeft w:val="0"/>
      <w:marRight w:val="0"/>
      <w:marTop w:val="0"/>
      <w:marBottom w:val="0"/>
      <w:divBdr>
        <w:top w:val="none" w:sz="0" w:space="0" w:color="auto"/>
        <w:left w:val="none" w:sz="0" w:space="0" w:color="auto"/>
        <w:bottom w:val="none" w:sz="0" w:space="0" w:color="auto"/>
        <w:right w:val="none" w:sz="0" w:space="0" w:color="auto"/>
      </w:divBdr>
    </w:div>
    <w:div w:id="962615441">
      <w:bodyDiv w:val="1"/>
      <w:marLeft w:val="0"/>
      <w:marRight w:val="0"/>
      <w:marTop w:val="0"/>
      <w:marBottom w:val="0"/>
      <w:divBdr>
        <w:top w:val="none" w:sz="0" w:space="0" w:color="auto"/>
        <w:left w:val="none" w:sz="0" w:space="0" w:color="auto"/>
        <w:bottom w:val="none" w:sz="0" w:space="0" w:color="auto"/>
        <w:right w:val="none" w:sz="0" w:space="0" w:color="auto"/>
      </w:divBdr>
      <w:divsChild>
        <w:div w:id="1417048013">
          <w:marLeft w:val="0"/>
          <w:marRight w:val="0"/>
          <w:marTop w:val="0"/>
          <w:marBottom w:val="0"/>
          <w:divBdr>
            <w:top w:val="none" w:sz="0" w:space="0" w:color="auto"/>
            <w:left w:val="none" w:sz="0" w:space="0" w:color="auto"/>
            <w:bottom w:val="none" w:sz="0" w:space="0" w:color="auto"/>
            <w:right w:val="none" w:sz="0" w:space="0" w:color="auto"/>
          </w:divBdr>
          <w:divsChild>
            <w:div w:id="554463479">
              <w:marLeft w:val="0"/>
              <w:marRight w:val="0"/>
              <w:marTop w:val="0"/>
              <w:marBottom w:val="0"/>
              <w:divBdr>
                <w:top w:val="none" w:sz="0" w:space="0" w:color="auto"/>
                <w:left w:val="none" w:sz="0" w:space="0" w:color="auto"/>
                <w:bottom w:val="none" w:sz="0" w:space="0" w:color="auto"/>
                <w:right w:val="none" w:sz="0" w:space="0" w:color="auto"/>
              </w:divBdr>
              <w:divsChild>
                <w:div w:id="11940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5183">
      <w:bodyDiv w:val="1"/>
      <w:marLeft w:val="0"/>
      <w:marRight w:val="0"/>
      <w:marTop w:val="0"/>
      <w:marBottom w:val="0"/>
      <w:divBdr>
        <w:top w:val="none" w:sz="0" w:space="0" w:color="auto"/>
        <w:left w:val="none" w:sz="0" w:space="0" w:color="auto"/>
        <w:bottom w:val="none" w:sz="0" w:space="0" w:color="auto"/>
        <w:right w:val="none" w:sz="0" w:space="0" w:color="auto"/>
      </w:divBdr>
    </w:div>
    <w:div w:id="1078096037">
      <w:bodyDiv w:val="1"/>
      <w:marLeft w:val="0"/>
      <w:marRight w:val="0"/>
      <w:marTop w:val="0"/>
      <w:marBottom w:val="0"/>
      <w:divBdr>
        <w:top w:val="none" w:sz="0" w:space="0" w:color="auto"/>
        <w:left w:val="none" w:sz="0" w:space="0" w:color="auto"/>
        <w:bottom w:val="none" w:sz="0" w:space="0" w:color="auto"/>
        <w:right w:val="none" w:sz="0" w:space="0" w:color="auto"/>
      </w:divBdr>
    </w:div>
    <w:div w:id="1154948306">
      <w:bodyDiv w:val="1"/>
      <w:marLeft w:val="0"/>
      <w:marRight w:val="0"/>
      <w:marTop w:val="0"/>
      <w:marBottom w:val="0"/>
      <w:divBdr>
        <w:top w:val="none" w:sz="0" w:space="0" w:color="auto"/>
        <w:left w:val="none" w:sz="0" w:space="0" w:color="auto"/>
        <w:bottom w:val="none" w:sz="0" w:space="0" w:color="auto"/>
        <w:right w:val="none" w:sz="0" w:space="0" w:color="auto"/>
      </w:divBdr>
    </w:div>
    <w:div w:id="1197428122">
      <w:bodyDiv w:val="1"/>
      <w:marLeft w:val="0"/>
      <w:marRight w:val="0"/>
      <w:marTop w:val="0"/>
      <w:marBottom w:val="0"/>
      <w:divBdr>
        <w:top w:val="none" w:sz="0" w:space="0" w:color="auto"/>
        <w:left w:val="none" w:sz="0" w:space="0" w:color="auto"/>
        <w:bottom w:val="none" w:sz="0" w:space="0" w:color="auto"/>
        <w:right w:val="none" w:sz="0" w:space="0" w:color="auto"/>
      </w:divBdr>
    </w:div>
    <w:div w:id="1252858184">
      <w:bodyDiv w:val="1"/>
      <w:marLeft w:val="0"/>
      <w:marRight w:val="0"/>
      <w:marTop w:val="0"/>
      <w:marBottom w:val="0"/>
      <w:divBdr>
        <w:top w:val="none" w:sz="0" w:space="0" w:color="auto"/>
        <w:left w:val="none" w:sz="0" w:space="0" w:color="auto"/>
        <w:bottom w:val="none" w:sz="0" w:space="0" w:color="auto"/>
        <w:right w:val="none" w:sz="0" w:space="0" w:color="auto"/>
      </w:divBdr>
    </w:div>
    <w:div w:id="1363551743">
      <w:bodyDiv w:val="1"/>
      <w:marLeft w:val="0"/>
      <w:marRight w:val="0"/>
      <w:marTop w:val="0"/>
      <w:marBottom w:val="0"/>
      <w:divBdr>
        <w:top w:val="none" w:sz="0" w:space="0" w:color="auto"/>
        <w:left w:val="none" w:sz="0" w:space="0" w:color="auto"/>
        <w:bottom w:val="none" w:sz="0" w:space="0" w:color="auto"/>
        <w:right w:val="none" w:sz="0" w:space="0" w:color="auto"/>
      </w:divBdr>
      <w:divsChild>
        <w:div w:id="1174299333">
          <w:marLeft w:val="0"/>
          <w:marRight w:val="0"/>
          <w:marTop w:val="0"/>
          <w:marBottom w:val="0"/>
          <w:divBdr>
            <w:top w:val="none" w:sz="0" w:space="0" w:color="auto"/>
            <w:left w:val="none" w:sz="0" w:space="0" w:color="auto"/>
            <w:bottom w:val="none" w:sz="0" w:space="0" w:color="auto"/>
            <w:right w:val="none" w:sz="0" w:space="0" w:color="auto"/>
          </w:divBdr>
          <w:divsChild>
            <w:div w:id="804808553">
              <w:marLeft w:val="0"/>
              <w:marRight w:val="0"/>
              <w:marTop w:val="0"/>
              <w:marBottom w:val="0"/>
              <w:divBdr>
                <w:top w:val="none" w:sz="0" w:space="0" w:color="auto"/>
                <w:left w:val="none" w:sz="0" w:space="0" w:color="auto"/>
                <w:bottom w:val="none" w:sz="0" w:space="0" w:color="auto"/>
                <w:right w:val="none" w:sz="0" w:space="0" w:color="auto"/>
              </w:divBdr>
              <w:divsChild>
                <w:div w:id="14509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3806">
      <w:bodyDiv w:val="1"/>
      <w:marLeft w:val="0"/>
      <w:marRight w:val="0"/>
      <w:marTop w:val="0"/>
      <w:marBottom w:val="0"/>
      <w:divBdr>
        <w:top w:val="none" w:sz="0" w:space="0" w:color="auto"/>
        <w:left w:val="none" w:sz="0" w:space="0" w:color="auto"/>
        <w:bottom w:val="none" w:sz="0" w:space="0" w:color="auto"/>
        <w:right w:val="none" w:sz="0" w:space="0" w:color="auto"/>
      </w:divBdr>
    </w:div>
    <w:div w:id="1435439353">
      <w:bodyDiv w:val="1"/>
      <w:marLeft w:val="0"/>
      <w:marRight w:val="0"/>
      <w:marTop w:val="0"/>
      <w:marBottom w:val="0"/>
      <w:divBdr>
        <w:top w:val="none" w:sz="0" w:space="0" w:color="auto"/>
        <w:left w:val="none" w:sz="0" w:space="0" w:color="auto"/>
        <w:bottom w:val="none" w:sz="0" w:space="0" w:color="auto"/>
        <w:right w:val="none" w:sz="0" w:space="0" w:color="auto"/>
      </w:divBdr>
    </w:div>
    <w:div w:id="1439332713">
      <w:bodyDiv w:val="1"/>
      <w:marLeft w:val="0"/>
      <w:marRight w:val="0"/>
      <w:marTop w:val="0"/>
      <w:marBottom w:val="0"/>
      <w:divBdr>
        <w:top w:val="none" w:sz="0" w:space="0" w:color="auto"/>
        <w:left w:val="none" w:sz="0" w:space="0" w:color="auto"/>
        <w:bottom w:val="none" w:sz="0" w:space="0" w:color="auto"/>
        <w:right w:val="none" w:sz="0" w:space="0" w:color="auto"/>
      </w:divBdr>
    </w:div>
    <w:div w:id="1475559644">
      <w:bodyDiv w:val="1"/>
      <w:marLeft w:val="0"/>
      <w:marRight w:val="0"/>
      <w:marTop w:val="0"/>
      <w:marBottom w:val="0"/>
      <w:divBdr>
        <w:top w:val="none" w:sz="0" w:space="0" w:color="auto"/>
        <w:left w:val="none" w:sz="0" w:space="0" w:color="auto"/>
        <w:bottom w:val="none" w:sz="0" w:space="0" w:color="auto"/>
        <w:right w:val="none" w:sz="0" w:space="0" w:color="auto"/>
      </w:divBdr>
    </w:div>
    <w:div w:id="1786466739">
      <w:bodyDiv w:val="1"/>
      <w:marLeft w:val="0"/>
      <w:marRight w:val="0"/>
      <w:marTop w:val="0"/>
      <w:marBottom w:val="0"/>
      <w:divBdr>
        <w:top w:val="none" w:sz="0" w:space="0" w:color="auto"/>
        <w:left w:val="none" w:sz="0" w:space="0" w:color="auto"/>
        <w:bottom w:val="none" w:sz="0" w:space="0" w:color="auto"/>
        <w:right w:val="none" w:sz="0" w:space="0" w:color="auto"/>
      </w:divBdr>
    </w:div>
    <w:div w:id="1798252144">
      <w:bodyDiv w:val="1"/>
      <w:marLeft w:val="0"/>
      <w:marRight w:val="0"/>
      <w:marTop w:val="0"/>
      <w:marBottom w:val="0"/>
      <w:divBdr>
        <w:top w:val="none" w:sz="0" w:space="0" w:color="auto"/>
        <w:left w:val="none" w:sz="0" w:space="0" w:color="auto"/>
        <w:bottom w:val="none" w:sz="0" w:space="0" w:color="auto"/>
        <w:right w:val="none" w:sz="0" w:space="0" w:color="auto"/>
      </w:divBdr>
    </w:div>
    <w:div w:id="1856456142">
      <w:bodyDiv w:val="1"/>
      <w:marLeft w:val="0"/>
      <w:marRight w:val="0"/>
      <w:marTop w:val="0"/>
      <w:marBottom w:val="0"/>
      <w:divBdr>
        <w:top w:val="none" w:sz="0" w:space="0" w:color="auto"/>
        <w:left w:val="none" w:sz="0" w:space="0" w:color="auto"/>
        <w:bottom w:val="none" w:sz="0" w:space="0" w:color="auto"/>
        <w:right w:val="none" w:sz="0" w:space="0" w:color="auto"/>
      </w:divBdr>
    </w:div>
    <w:div w:id="1878277407">
      <w:bodyDiv w:val="1"/>
      <w:marLeft w:val="0"/>
      <w:marRight w:val="0"/>
      <w:marTop w:val="0"/>
      <w:marBottom w:val="0"/>
      <w:divBdr>
        <w:top w:val="none" w:sz="0" w:space="0" w:color="auto"/>
        <w:left w:val="none" w:sz="0" w:space="0" w:color="auto"/>
        <w:bottom w:val="none" w:sz="0" w:space="0" w:color="auto"/>
        <w:right w:val="none" w:sz="0" w:space="0" w:color="auto"/>
      </w:divBdr>
    </w:div>
    <w:div w:id="2041516078">
      <w:bodyDiv w:val="1"/>
      <w:marLeft w:val="0"/>
      <w:marRight w:val="0"/>
      <w:marTop w:val="0"/>
      <w:marBottom w:val="0"/>
      <w:divBdr>
        <w:top w:val="none" w:sz="0" w:space="0" w:color="auto"/>
        <w:left w:val="none" w:sz="0" w:space="0" w:color="auto"/>
        <w:bottom w:val="none" w:sz="0" w:space="0" w:color="auto"/>
        <w:right w:val="none" w:sz="0" w:space="0" w:color="auto"/>
      </w:divBdr>
    </w:div>
    <w:div w:id="2064063376">
      <w:bodyDiv w:val="1"/>
      <w:marLeft w:val="0"/>
      <w:marRight w:val="0"/>
      <w:marTop w:val="0"/>
      <w:marBottom w:val="0"/>
      <w:divBdr>
        <w:top w:val="none" w:sz="0" w:space="0" w:color="auto"/>
        <w:left w:val="none" w:sz="0" w:space="0" w:color="auto"/>
        <w:bottom w:val="none" w:sz="0" w:space="0" w:color="auto"/>
        <w:right w:val="none" w:sz="0" w:space="0" w:color="auto"/>
      </w:divBdr>
    </w:div>
    <w:div w:id="21423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A7B7-0A5A-47E0-A60A-FFD1CEF6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4348</Words>
  <Characters>24786</Characters>
  <Application>Microsoft Office Word</Application>
  <DocSecurity>0</DocSecurity>
  <Lines>206</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ulusoy</dc:creator>
  <cp:keywords/>
  <dc:description/>
  <cp:lastModifiedBy>Sercan Çalcı</cp:lastModifiedBy>
  <cp:revision>13</cp:revision>
  <cp:lastPrinted>2025-06-19T12:29:00Z</cp:lastPrinted>
  <dcterms:created xsi:type="dcterms:W3CDTF">2025-06-23T08:07:00Z</dcterms:created>
  <dcterms:modified xsi:type="dcterms:W3CDTF">2025-06-24T13:50:00Z</dcterms:modified>
</cp:coreProperties>
</file>